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32"/>
          <w:szCs w:val="32"/>
        </w:rPr>
      </w:pPr>
      <w:r>
        <w:rPr>
          <w:rFonts w:hint="eastAsia" w:ascii="仿宋" w:hAnsi="仿宋" w:eastAsia="仿宋"/>
          <w:b/>
          <w:bCs/>
          <w:sz w:val="32"/>
          <w:szCs w:val="32"/>
        </w:rPr>
        <w:t>检验科室内质控品采购项目</w:t>
      </w:r>
    </w:p>
    <w:p>
      <w:pPr>
        <w:jc w:val="center"/>
        <w:rPr>
          <w:rFonts w:ascii="仿宋" w:hAnsi="仿宋" w:eastAsia="仿宋"/>
          <w:b/>
          <w:bCs/>
          <w:sz w:val="32"/>
          <w:szCs w:val="32"/>
        </w:rPr>
      </w:pPr>
      <w:r>
        <w:rPr>
          <w:rFonts w:hint="eastAsia" w:ascii="仿宋" w:hAnsi="仿宋" w:eastAsia="仿宋"/>
          <w:b/>
          <w:bCs/>
          <w:sz w:val="32"/>
          <w:szCs w:val="32"/>
          <w:lang w:eastAsia="zh-CN"/>
        </w:rPr>
        <w:t>比价</w:t>
      </w:r>
      <w:r>
        <w:rPr>
          <w:rFonts w:hint="eastAsia" w:ascii="仿宋" w:hAnsi="仿宋" w:eastAsia="仿宋"/>
          <w:b/>
          <w:bCs/>
          <w:sz w:val="32"/>
          <w:szCs w:val="32"/>
        </w:rPr>
        <w:t>文件</w:t>
      </w:r>
    </w:p>
    <w:p>
      <w:pPr>
        <w:pStyle w:val="5"/>
        <w:numPr>
          <w:ilvl w:val="0"/>
          <w:numId w:val="1"/>
        </w:numPr>
        <w:adjustRightInd w:val="0"/>
        <w:snapToGrid w:val="0"/>
        <w:spacing w:before="31" w:beforeLines="10" w:after="0" w:line="360" w:lineRule="auto"/>
        <w:rPr>
          <w:rFonts w:ascii="宋体" w:hAnsi="宋体" w:eastAsia="宋体" w:cs="宋体"/>
          <w:b/>
          <w:bCs/>
          <w:sz w:val="24"/>
          <w:szCs w:val="24"/>
        </w:rPr>
      </w:pPr>
      <w:bookmarkStart w:id="0" w:name="_Toc376879235"/>
      <w:r>
        <w:rPr>
          <w:rFonts w:hint="eastAsia" w:ascii="宋体" w:hAnsi="宋体" w:eastAsia="宋体" w:cs="宋体"/>
          <w:b/>
          <w:bCs/>
          <w:sz w:val="24"/>
          <w:szCs w:val="24"/>
        </w:rPr>
        <w:t>项目简介</w:t>
      </w:r>
      <w:bookmarkEnd w:id="0"/>
    </w:p>
    <w:p>
      <w:pPr>
        <w:ind w:firstLine="420" w:firstLineChars="0"/>
      </w:pPr>
      <w:r>
        <w:rPr>
          <w:rFonts w:hint="eastAsia"/>
          <w:lang w:eastAsia="zh-CN"/>
        </w:rPr>
        <w:t>采购一批</w:t>
      </w:r>
      <w:r>
        <w:rPr>
          <w:rFonts w:hint="eastAsia"/>
        </w:rPr>
        <w:t>检验科室内质控品</w:t>
      </w:r>
    </w:p>
    <w:p>
      <w:pPr>
        <w:pStyle w:val="5"/>
        <w:numPr>
          <w:ilvl w:val="0"/>
          <w:numId w:val="1"/>
        </w:numPr>
        <w:adjustRightInd w:val="0"/>
        <w:snapToGrid w:val="0"/>
        <w:spacing w:before="31" w:beforeLines="10" w:after="0" w:line="360" w:lineRule="auto"/>
        <w:rPr>
          <w:rFonts w:ascii="宋体" w:hAnsi="宋体" w:eastAsia="宋体" w:cs="宋体"/>
          <w:b/>
          <w:bCs/>
          <w:sz w:val="24"/>
          <w:szCs w:val="24"/>
        </w:rPr>
      </w:pPr>
      <w:r>
        <w:rPr>
          <w:rFonts w:hint="eastAsia" w:ascii="宋体" w:hAnsi="宋体" w:eastAsia="宋体" w:cs="宋体"/>
          <w:b/>
          <w:bCs/>
          <w:sz w:val="24"/>
          <w:szCs w:val="24"/>
          <w:lang w:eastAsia="zh-CN"/>
        </w:rPr>
        <w:t>比</w:t>
      </w:r>
      <w:r>
        <w:rPr>
          <w:rFonts w:hint="eastAsia" w:ascii="宋体" w:hAnsi="宋体" w:eastAsia="宋体" w:cs="宋体"/>
          <w:b/>
          <w:bCs/>
          <w:sz w:val="24"/>
          <w:szCs w:val="24"/>
        </w:rPr>
        <w:t>价需求</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具体内容参见下表</w:t>
      </w:r>
    </w:p>
    <w:tbl>
      <w:tblPr>
        <w:tblStyle w:val="9"/>
        <w:tblW w:w="9360" w:type="dxa"/>
        <w:tblInd w:w="-291"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590"/>
        <w:gridCol w:w="5205"/>
        <w:gridCol w:w="1665"/>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03" w:hRule="atLeast"/>
        </w:trPr>
        <w:tc>
          <w:tcPr>
            <w:tcW w:w="900" w:type="dxa"/>
            <w:tcBorders>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序号</w:t>
            </w:r>
          </w:p>
        </w:tc>
        <w:tc>
          <w:tcPr>
            <w:tcW w:w="1590" w:type="dxa"/>
            <w:tcBorders>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类型</w:t>
            </w:r>
          </w:p>
        </w:tc>
        <w:tc>
          <w:tcPr>
            <w:tcW w:w="5205" w:type="dxa"/>
            <w:tcBorders>
              <w:lef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具体包含检测项目</w:t>
            </w:r>
          </w:p>
        </w:tc>
        <w:tc>
          <w:tcPr>
            <w:tcW w:w="1665" w:type="dxa"/>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年度需求量预计（ml）</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42" w:hRule="atLeast"/>
        </w:trPr>
        <w:tc>
          <w:tcPr>
            <w:tcW w:w="900"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1</w:t>
            </w:r>
          </w:p>
        </w:tc>
        <w:tc>
          <w:tcPr>
            <w:tcW w:w="1590" w:type="dxa"/>
            <w:tcBorders>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凝血系列</w:t>
            </w:r>
          </w:p>
        </w:tc>
        <w:tc>
          <w:tcPr>
            <w:tcW w:w="5205" w:type="dxa"/>
            <w:tcBorders>
              <w:left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PT、APTT、FIB、TT、FDP、D-D(DDU）、AT-III、PTINR、D-D(FEU）</w:t>
            </w:r>
          </w:p>
        </w:tc>
        <w:tc>
          <w:tcPr>
            <w:tcW w:w="1665" w:type="dxa"/>
            <w:tcBorders>
              <w:bottom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双水平各1000ml</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72" w:hRule="atLeast"/>
        </w:trPr>
        <w:tc>
          <w:tcPr>
            <w:tcW w:w="900"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2</w:t>
            </w:r>
          </w:p>
        </w:tc>
        <w:tc>
          <w:tcPr>
            <w:tcW w:w="1590" w:type="dxa"/>
            <w:tcBorders>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肿瘤标志物</w:t>
            </w:r>
          </w:p>
        </w:tc>
        <w:tc>
          <w:tcPr>
            <w:tcW w:w="5205" w:type="dxa"/>
            <w:tcBorders>
              <w:left w:val="single" w:color="auto" w:sz="4" w:space="0"/>
              <w:bottom w:val="single" w:color="auto" w:sz="4" w:space="0"/>
            </w:tcBorders>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AFP、CEA、hCG、PSA、CA 125、CA 15-3、CA 19-9、Ferritin、β-hCG、F-PSA、Cyfra 21-1、CASA、SCC、TPA、TPS、CA 50、CA 72-4、CA242、HE4、CA549、NSE、PGI、PGII、proGRP</w:t>
            </w:r>
          </w:p>
        </w:tc>
        <w:tc>
          <w:tcPr>
            <w:tcW w:w="1665" w:type="dxa"/>
            <w:tcBorders>
              <w:bottom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双水平各300ml</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72" w:hRule="atLeast"/>
        </w:trPr>
        <w:tc>
          <w:tcPr>
            <w:tcW w:w="900"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3</w:t>
            </w:r>
          </w:p>
        </w:tc>
        <w:tc>
          <w:tcPr>
            <w:tcW w:w="1590" w:type="dxa"/>
            <w:tcBorders>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特定蛋白</w:t>
            </w:r>
          </w:p>
        </w:tc>
        <w:tc>
          <w:tcPr>
            <w:tcW w:w="5205" w:type="dxa"/>
            <w:tcBorders>
              <w:left w:val="single" w:color="auto" w:sz="4" w:space="0"/>
              <w:bottom w:val="single" w:color="auto" w:sz="4" w:space="0"/>
            </w:tcBorders>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Alb、IgG、IgM、IgA、IgE、C3、C4、CRP、RF、ASO、TRF、PAB、β2M、Ferritin、AT-III、Kappa Light Chain、Lambda Light Chain、RBP、Cer、α2M、α-l-AG、Hap(HPT)、α-l-AT</w:t>
            </w:r>
          </w:p>
        </w:tc>
        <w:tc>
          <w:tcPr>
            <w:tcW w:w="1665" w:type="dxa"/>
            <w:tcBorders>
              <w:bottom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双水平各200ml</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900" w:type="dxa"/>
            <w:tcBorders>
              <w:right w:val="single" w:color="auto" w:sz="4" w:space="0"/>
            </w:tcBorders>
          </w:tcPr>
          <w:p>
            <w:pPr>
              <w:ind w:left="-30"/>
              <w:jc w:val="center"/>
              <w:rPr>
                <w:rFonts w:ascii="宋体" w:hAnsi="宋体" w:eastAsia="宋体" w:cs="宋体"/>
                <w:sz w:val="24"/>
                <w:szCs w:val="24"/>
              </w:rPr>
            </w:pPr>
            <w:r>
              <w:rPr>
                <w:rFonts w:ascii="宋体" w:hAnsi="宋体" w:eastAsia="宋体" w:cs="宋体"/>
                <w:sz w:val="24"/>
                <w:szCs w:val="24"/>
              </w:rPr>
              <w:t>4</w:t>
            </w:r>
          </w:p>
        </w:tc>
        <w:tc>
          <w:tcPr>
            <w:tcW w:w="1590" w:type="dxa"/>
            <w:tcBorders>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生化</w:t>
            </w:r>
          </w:p>
        </w:tc>
        <w:tc>
          <w:tcPr>
            <w:tcW w:w="5205" w:type="dxa"/>
            <w:tcBorders>
              <w:left w:val="single" w:color="auto" w:sz="4" w:space="0"/>
            </w:tcBorders>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K、Na、Cl、Ca、P、Urea、UA、Cr、Alb、CHOL/TC、TG、ALT/SGPT、AST/SGOT、TBIL、ALP、AMY、CK、LDH、DBIL、Fe、Mg、Li、Cu、Zn、GCT、a-HBDH、HDL-C、LDL-C、Apo-A I、Apo-B、CK-MB、DGXN、THEO、IgG、IgM、IgA、CRP、TRF、PRO/TP、GLU、LA、CHE、Osm、PAMY、LIP、UIBC、TBA、NEFA、GLDH、PLIP、Lp(a)、Cys C、CO2(HCO3-）、AFU、FRUC(GSP)、anit CCP、ADA、5'NT、β-Hb</w:t>
            </w:r>
          </w:p>
        </w:tc>
        <w:tc>
          <w:tcPr>
            <w:tcW w:w="1665"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双水平各200ml</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900" w:type="dxa"/>
            <w:tcBorders>
              <w:right w:val="single" w:color="auto" w:sz="4" w:space="0"/>
            </w:tcBorders>
          </w:tcPr>
          <w:p>
            <w:pPr>
              <w:ind w:left="-30"/>
              <w:jc w:val="center"/>
              <w:rPr>
                <w:rFonts w:ascii="宋体" w:hAnsi="宋体" w:eastAsia="宋体" w:cs="宋体"/>
                <w:sz w:val="24"/>
                <w:szCs w:val="24"/>
              </w:rPr>
            </w:pPr>
            <w:r>
              <w:rPr>
                <w:rFonts w:ascii="宋体" w:hAnsi="宋体" w:eastAsia="宋体" w:cs="宋体"/>
                <w:sz w:val="24"/>
                <w:szCs w:val="24"/>
              </w:rPr>
              <w:t>5</w:t>
            </w:r>
          </w:p>
        </w:tc>
        <w:tc>
          <w:tcPr>
            <w:tcW w:w="1590" w:type="dxa"/>
            <w:tcBorders>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TORCH</w:t>
            </w:r>
          </w:p>
        </w:tc>
        <w:tc>
          <w:tcPr>
            <w:tcW w:w="5205" w:type="dxa"/>
            <w:tcBorders>
              <w:left w:val="single" w:color="auto" w:sz="4" w:space="0"/>
            </w:tcBorders>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CMV IgG、TOX IgG、RV IgG、CMV IgM、TOX IgM、RV IgM、HSV-1/2 IgM、HSV-1/2 IgG</w:t>
            </w:r>
          </w:p>
        </w:tc>
        <w:tc>
          <w:tcPr>
            <w:tcW w:w="1665"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单水平60ml</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900" w:type="dxa"/>
            <w:tcBorders>
              <w:right w:val="single" w:color="auto" w:sz="4" w:space="0"/>
            </w:tcBorders>
          </w:tcPr>
          <w:p>
            <w:pPr>
              <w:ind w:left="-30"/>
              <w:jc w:val="center"/>
              <w:rPr>
                <w:rFonts w:ascii="宋体" w:hAnsi="宋体" w:eastAsia="宋体" w:cs="宋体"/>
                <w:sz w:val="24"/>
                <w:szCs w:val="24"/>
              </w:rPr>
            </w:pPr>
            <w:r>
              <w:rPr>
                <w:rFonts w:ascii="宋体" w:hAnsi="宋体" w:eastAsia="宋体" w:cs="宋体"/>
                <w:sz w:val="24"/>
                <w:szCs w:val="24"/>
              </w:rPr>
              <w:t>6</w:t>
            </w:r>
          </w:p>
        </w:tc>
        <w:tc>
          <w:tcPr>
            <w:tcW w:w="1590" w:type="dxa"/>
            <w:tcBorders>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尿液蛋白</w:t>
            </w:r>
          </w:p>
        </w:tc>
        <w:tc>
          <w:tcPr>
            <w:tcW w:w="5205" w:type="dxa"/>
            <w:tcBorders>
              <w:left w:val="single" w:color="auto" w:sz="4" w:space="0"/>
            </w:tcBorders>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尿微量白蛋白、尿转铁蛋白、尿兔疫球蛋白 G、尿中性粒细胞明胶酶相关脂质运载蛋白、尿β2-微球蛋自、 尿αl-微球蛋白、尿视黄醇结合蛋自、Kappa总轻链 ,Lambda总轻链</w:t>
            </w:r>
          </w:p>
        </w:tc>
        <w:tc>
          <w:tcPr>
            <w:tcW w:w="1665"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双水平各300ml</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900" w:type="dxa"/>
            <w:tcBorders>
              <w:right w:val="single" w:color="auto" w:sz="4" w:space="0"/>
            </w:tcBorders>
          </w:tcPr>
          <w:p>
            <w:pPr>
              <w:ind w:left="-30"/>
              <w:jc w:val="center"/>
              <w:rPr>
                <w:rFonts w:ascii="宋体" w:hAnsi="宋体" w:eastAsia="宋体" w:cs="宋体"/>
                <w:sz w:val="24"/>
                <w:szCs w:val="24"/>
              </w:rPr>
            </w:pPr>
            <w:r>
              <w:rPr>
                <w:rFonts w:ascii="宋体" w:hAnsi="宋体" w:eastAsia="宋体" w:cs="宋体"/>
                <w:sz w:val="24"/>
                <w:szCs w:val="24"/>
              </w:rPr>
              <w:t>7</w:t>
            </w:r>
          </w:p>
        </w:tc>
        <w:tc>
          <w:tcPr>
            <w:tcW w:w="1590" w:type="dxa"/>
            <w:tcBorders>
              <w:right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尿液生化</w:t>
            </w:r>
          </w:p>
        </w:tc>
        <w:tc>
          <w:tcPr>
            <w:tcW w:w="5205" w:type="dxa"/>
            <w:tcBorders>
              <w:left w:val="single" w:color="auto" w:sz="4" w:space="0"/>
            </w:tcBorders>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尿钾、尿钠、尿氯、尿肌酐、尿素氮、尿总蛋白</w:t>
            </w:r>
          </w:p>
        </w:tc>
        <w:tc>
          <w:tcPr>
            <w:tcW w:w="1665" w:type="dxa"/>
            <w:tcBorders>
              <w:top w:val="single" w:color="auto" w:sz="4" w:space="0"/>
              <w:bottom w:val="single" w:color="auto" w:sz="4" w:space="0"/>
            </w:tcBorders>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双水平各300ml</w:t>
            </w:r>
          </w:p>
        </w:tc>
      </w:tr>
    </w:tbl>
    <w:p>
      <w:pPr>
        <w:jc w:val="left"/>
        <w:rPr>
          <w:rFonts w:hint="eastAsia" w:ascii="新宋体" w:hAnsi="新宋体" w:eastAsia="新宋体"/>
          <w:b/>
          <w:bCs w:val="0"/>
          <w:color w:val="auto"/>
          <w:sz w:val="22"/>
          <w:highlight w:val="yellow"/>
          <w:u w:val="single"/>
        </w:rPr>
      </w:pPr>
    </w:p>
    <w:p>
      <w:pPr>
        <w:jc w:val="left"/>
        <w:rPr>
          <w:rFonts w:hint="eastAsia" w:ascii="宋体" w:hAnsi="宋体" w:eastAsia="新宋体" w:cs="宋体"/>
          <w:b/>
          <w:bCs w:val="0"/>
          <w:sz w:val="24"/>
          <w:szCs w:val="24"/>
          <w:highlight w:val="yellow"/>
          <w:u w:val="single"/>
          <w:lang w:val="en-US" w:eastAsia="zh-CN"/>
        </w:rPr>
      </w:pPr>
      <w:r>
        <w:rPr>
          <w:rFonts w:hint="eastAsia" w:ascii="新宋体" w:hAnsi="新宋体" w:eastAsia="新宋体"/>
          <w:b/>
          <w:bCs w:val="0"/>
          <w:color w:val="auto"/>
          <w:sz w:val="22"/>
          <w:highlight w:val="yellow"/>
          <w:u w:val="single"/>
        </w:rPr>
        <w:t>注：投</w:t>
      </w:r>
      <w:r>
        <w:rPr>
          <w:rFonts w:hint="eastAsia" w:ascii="新宋体" w:hAnsi="新宋体" w:eastAsia="新宋体"/>
          <w:b/>
          <w:bCs w:val="0"/>
          <w:color w:val="auto"/>
          <w:sz w:val="22"/>
          <w:highlight w:val="yellow"/>
          <w:u w:val="single"/>
          <w:lang w:val="en-US" w:eastAsia="zh-CN"/>
        </w:rPr>
        <w:t>供应商</w:t>
      </w:r>
      <w:r>
        <w:rPr>
          <w:rFonts w:hint="eastAsia" w:ascii="新宋体" w:hAnsi="新宋体" w:eastAsia="新宋体"/>
          <w:b/>
          <w:bCs w:val="0"/>
          <w:color w:val="auto"/>
          <w:sz w:val="22"/>
          <w:highlight w:val="yellow"/>
          <w:u w:val="single"/>
        </w:rPr>
        <w:t>对以上所有</w:t>
      </w:r>
      <w:r>
        <w:rPr>
          <w:rFonts w:hint="eastAsia" w:ascii="新宋体" w:hAnsi="新宋体" w:eastAsia="新宋体"/>
          <w:b/>
          <w:bCs w:val="0"/>
          <w:color w:val="auto"/>
          <w:sz w:val="22"/>
          <w:highlight w:val="yellow"/>
          <w:u w:val="single"/>
          <w:lang w:val="en-US" w:eastAsia="zh-CN"/>
        </w:rPr>
        <w:t>类型内容允许拆分报价</w:t>
      </w:r>
    </w:p>
    <w:p>
      <w:pPr>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四、报价方式</w:t>
      </w:r>
      <w:r>
        <w:rPr>
          <w:rFonts w:hint="eastAsia" w:ascii="宋体" w:hAnsi="宋体" w:eastAsia="宋体" w:cs="宋体"/>
          <w:sz w:val="24"/>
          <w:szCs w:val="24"/>
        </w:rPr>
        <w:t>：</w:t>
      </w:r>
      <w:r>
        <w:rPr>
          <w:rFonts w:hint="eastAsia" w:ascii="宋体" w:hAnsi="宋体" w:eastAsia="宋体" w:cs="宋体"/>
          <w:sz w:val="24"/>
          <w:szCs w:val="24"/>
          <w:highlight w:val="yellow"/>
        </w:rPr>
        <w:t>按</w:t>
      </w:r>
      <w:r>
        <w:rPr>
          <w:rFonts w:hint="eastAsia" w:ascii="宋体" w:hAnsi="宋体" w:eastAsia="宋体" w:cs="宋体"/>
          <w:sz w:val="24"/>
          <w:szCs w:val="24"/>
          <w:highlight w:val="yellow"/>
          <w:lang w:eastAsia="zh-CN"/>
        </w:rPr>
        <w:t>要求填表</w:t>
      </w:r>
      <w:r>
        <w:rPr>
          <w:rFonts w:hint="eastAsia" w:ascii="宋体" w:hAnsi="宋体" w:eastAsia="宋体" w:cs="宋体"/>
          <w:sz w:val="24"/>
          <w:szCs w:val="24"/>
          <w:highlight w:val="yellow"/>
        </w:rPr>
        <w:t>，报价表见附件</w:t>
      </w:r>
    </w:p>
    <w:p>
      <w:pPr>
        <w:ind w:firstLine="482" w:firstLineChars="200"/>
        <w:jc w:val="left"/>
        <w:rPr>
          <w:rFonts w:hint="default" w:ascii="宋体" w:hAnsi="宋体" w:eastAsia="宋体" w:cs="宋体"/>
          <w:b/>
          <w:bCs/>
          <w:sz w:val="24"/>
          <w:szCs w:val="24"/>
        </w:rPr>
      </w:pPr>
      <w:bookmarkStart w:id="1" w:name="_Toc7678"/>
      <w:r>
        <w:rPr>
          <w:rFonts w:hint="eastAsia" w:ascii="宋体" w:hAnsi="宋体" w:eastAsia="宋体" w:cs="宋体"/>
          <w:b/>
          <w:bCs/>
          <w:sz w:val="24"/>
          <w:szCs w:val="24"/>
          <w:lang w:val="en-US" w:eastAsia="zh-CN"/>
        </w:rPr>
        <w:t>五</w:t>
      </w:r>
      <w:r>
        <w:rPr>
          <w:rFonts w:hint="default" w:ascii="宋体" w:hAnsi="宋体" w:eastAsia="宋体" w:cs="宋体"/>
          <w:b/>
          <w:bCs/>
          <w:sz w:val="24"/>
          <w:szCs w:val="24"/>
        </w:rPr>
        <w:t>、</w:t>
      </w:r>
      <w:r>
        <w:rPr>
          <w:rFonts w:hint="default" w:ascii="宋体" w:hAnsi="宋体" w:eastAsia="宋体" w:cs="宋体"/>
          <w:b/>
          <w:bCs/>
          <w:sz w:val="24"/>
          <w:szCs w:val="24"/>
          <w:lang w:eastAsia="zh-CN"/>
        </w:rPr>
        <w:t>评审</w:t>
      </w:r>
      <w:r>
        <w:rPr>
          <w:rFonts w:hint="default" w:ascii="宋体" w:hAnsi="宋体" w:eastAsia="宋体" w:cs="宋体"/>
          <w:b/>
          <w:bCs/>
          <w:sz w:val="24"/>
          <w:szCs w:val="24"/>
        </w:rPr>
        <w:t>办法</w:t>
      </w:r>
      <w:bookmarkEnd w:id="1"/>
    </w:p>
    <w:p>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b/>
          <w:bCs/>
          <w:sz w:val="22"/>
          <w:szCs w:val="22"/>
          <w:highlight w:val="none"/>
          <w:u w:val="single"/>
        </w:rPr>
      </w:pPr>
      <w:r>
        <w:rPr>
          <w:rFonts w:hint="default" w:ascii="Times New Roman" w:hAnsi="Times New Roman" w:eastAsia="新宋体" w:cs="Times New Roman"/>
          <w:sz w:val="22"/>
          <w:szCs w:val="22"/>
          <w:highlight w:val="none"/>
        </w:rPr>
        <w:t>本次</w:t>
      </w:r>
      <w:r>
        <w:rPr>
          <w:rFonts w:hint="default" w:ascii="Times New Roman" w:hAnsi="Times New Roman" w:eastAsia="新宋体" w:cs="Times New Roman"/>
          <w:sz w:val="22"/>
          <w:szCs w:val="22"/>
          <w:highlight w:val="none"/>
          <w:lang w:val="en-US" w:eastAsia="zh-CN"/>
        </w:rPr>
        <w:t>比选</w:t>
      </w:r>
      <w:r>
        <w:rPr>
          <w:rFonts w:hint="default" w:ascii="Times New Roman" w:hAnsi="Times New Roman" w:eastAsia="新宋体" w:cs="Times New Roman"/>
          <w:sz w:val="22"/>
          <w:szCs w:val="22"/>
          <w:highlight w:val="none"/>
        </w:rPr>
        <w:t>采用</w:t>
      </w:r>
      <w:r>
        <w:rPr>
          <w:rFonts w:hint="default" w:ascii="Times New Roman" w:hAnsi="Times New Roman" w:eastAsia="新宋体" w:cs="Times New Roman"/>
          <w:b/>
          <w:bCs/>
          <w:sz w:val="22"/>
          <w:szCs w:val="22"/>
          <w:highlight w:val="none"/>
        </w:rPr>
        <w:t>最低</w:t>
      </w:r>
      <w:r>
        <w:rPr>
          <w:rFonts w:hint="default" w:ascii="Times New Roman" w:hAnsi="Times New Roman" w:eastAsia="新宋体" w:cs="Times New Roman"/>
          <w:b/>
          <w:bCs/>
          <w:sz w:val="22"/>
          <w:szCs w:val="22"/>
          <w:highlight w:val="none"/>
          <w:lang w:eastAsia="zh-CN"/>
        </w:rPr>
        <w:t>评审</w:t>
      </w:r>
      <w:r>
        <w:rPr>
          <w:rFonts w:hint="default" w:ascii="Times New Roman" w:hAnsi="Times New Roman" w:eastAsia="新宋体" w:cs="Times New Roman"/>
          <w:b/>
          <w:bCs/>
          <w:sz w:val="22"/>
          <w:szCs w:val="22"/>
          <w:highlight w:val="none"/>
        </w:rPr>
        <w:t>价法</w:t>
      </w:r>
      <w:r>
        <w:rPr>
          <w:rFonts w:hint="eastAsia" w:ascii="Times New Roman" w:hAnsi="Times New Roman" w:eastAsia="新宋体" w:cs="Times New Roman"/>
          <w:b/>
          <w:bCs/>
          <w:sz w:val="22"/>
          <w:szCs w:val="22"/>
          <w:highlight w:val="none"/>
          <w:lang w:eastAsia="zh-CN"/>
        </w:rPr>
        <w:t>（对以上七项分别单独评审）</w:t>
      </w:r>
      <w:r>
        <w:rPr>
          <w:rFonts w:hint="default" w:ascii="Times New Roman" w:hAnsi="Times New Roman" w:eastAsia="新宋体" w:cs="Times New Roman"/>
          <w:sz w:val="22"/>
          <w:szCs w:val="22"/>
          <w:highlight w:val="none"/>
        </w:rPr>
        <w:t>，即</w:t>
      </w:r>
      <w:r>
        <w:rPr>
          <w:rFonts w:hint="default" w:ascii="Times New Roman" w:hAnsi="Times New Roman" w:eastAsia="新宋体" w:cs="Times New Roman"/>
          <w:bCs/>
          <w:sz w:val="22"/>
          <w:szCs w:val="22"/>
          <w:highlight w:val="none"/>
          <w:lang w:eastAsia="zh-CN"/>
        </w:rPr>
        <w:t>评审小组</w:t>
      </w:r>
      <w:r>
        <w:rPr>
          <w:rFonts w:hint="default" w:ascii="Times New Roman" w:hAnsi="Times New Roman" w:eastAsia="新宋体" w:cs="Times New Roman"/>
          <w:bCs/>
          <w:sz w:val="22"/>
          <w:szCs w:val="22"/>
          <w:highlight w:val="none"/>
        </w:rPr>
        <w:t>按照</w:t>
      </w:r>
      <w:r>
        <w:rPr>
          <w:rFonts w:hint="default" w:ascii="Times New Roman" w:hAnsi="Times New Roman" w:eastAsia="新宋体" w:cs="Times New Roman"/>
          <w:bCs/>
          <w:sz w:val="22"/>
          <w:szCs w:val="22"/>
          <w:highlight w:val="none"/>
          <w:lang w:eastAsia="zh-CN"/>
        </w:rPr>
        <w:t>比选文件</w:t>
      </w:r>
      <w:r>
        <w:rPr>
          <w:rFonts w:hint="default" w:ascii="Times New Roman" w:hAnsi="Times New Roman" w:eastAsia="新宋体" w:cs="Times New Roman"/>
          <w:bCs/>
          <w:sz w:val="22"/>
          <w:szCs w:val="22"/>
          <w:highlight w:val="none"/>
        </w:rPr>
        <w:t>中规定的</w:t>
      </w:r>
      <w:r>
        <w:rPr>
          <w:rFonts w:hint="default" w:ascii="Times New Roman" w:hAnsi="Times New Roman" w:eastAsia="新宋体" w:cs="Times New Roman"/>
          <w:bCs/>
          <w:sz w:val="22"/>
          <w:szCs w:val="22"/>
          <w:highlight w:val="none"/>
          <w:lang w:eastAsia="zh-CN"/>
        </w:rPr>
        <w:t>评审</w:t>
      </w:r>
      <w:r>
        <w:rPr>
          <w:rFonts w:hint="default" w:ascii="Times New Roman" w:hAnsi="Times New Roman" w:eastAsia="新宋体" w:cs="Times New Roman"/>
          <w:bCs/>
          <w:sz w:val="22"/>
          <w:szCs w:val="22"/>
          <w:highlight w:val="none"/>
        </w:rPr>
        <w:t>方法和标准，对</w:t>
      </w:r>
      <w:r>
        <w:rPr>
          <w:rFonts w:hint="default" w:ascii="Times New Roman" w:hAnsi="Times New Roman" w:eastAsia="新宋体" w:cs="Times New Roman"/>
          <w:bCs/>
          <w:sz w:val="22"/>
          <w:szCs w:val="22"/>
          <w:highlight w:val="none"/>
          <w:lang w:eastAsia="zh-CN"/>
        </w:rPr>
        <w:t>比选申请文件</w:t>
      </w:r>
      <w:r>
        <w:rPr>
          <w:rFonts w:hint="default" w:ascii="Times New Roman" w:hAnsi="Times New Roman" w:eastAsia="新宋体" w:cs="Times New Roman"/>
          <w:bCs/>
          <w:sz w:val="22"/>
          <w:szCs w:val="22"/>
          <w:highlight w:val="none"/>
        </w:rPr>
        <w:t>进行评估</w:t>
      </w:r>
      <w:bookmarkStart w:id="5" w:name="_GoBack"/>
      <w:bookmarkEnd w:id="5"/>
      <w:r>
        <w:rPr>
          <w:rFonts w:hint="default" w:ascii="Times New Roman" w:hAnsi="Times New Roman" w:eastAsia="新宋体" w:cs="Times New Roman"/>
          <w:bCs/>
          <w:sz w:val="22"/>
          <w:szCs w:val="22"/>
          <w:highlight w:val="none"/>
        </w:rPr>
        <w:t>，综合比较与评价</w:t>
      </w:r>
      <w:r>
        <w:rPr>
          <w:rFonts w:hint="default" w:ascii="Times New Roman" w:hAnsi="Times New Roman" w:eastAsia="新宋体" w:cs="Times New Roman"/>
          <w:sz w:val="22"/>
          <w:szCs w:val="22"/>
          <w:highlight w:val="none"/>
        </w:rPr>
        <w:t>，根据符合采购需求、质量和服务相等且报价最低的原则确定结果，提交评审报告。</w:t>
      </w:r>
    </w:p>
    <w:p>
      <w:pPr>
        <w:ind w:firstLine="482" w:firstLineChars="200"/>
        <w:jc w:val="left"/>
        <w:rPr>
          <w:rFonts w:hint="default" w:ascii="宋体" w:hAnsi="宋体" w:eastAsia="宋体" w:cs="宋体"/>
          <w:b/>
          <w:bCs/>
          <w:sz w:val="24"/>
          <w:szCs w:val="24"/>
          <w:lang w:val="en-US" w:eastAsia="zh-CN"/>
        </w:rPr>
      </w:pPr>
      <w:bookmarkStart w:id="2" w:name="_Toc23127"/>
      <w:bookmarkStart w:id="3" w:name="_Toc5763"/>
      <w:bookmarkStart w:id="4" w:name="_Toc12314"/>
      <w:r>
        <w:rPr>
          <w:rFonts w:hint="eastAsia" w:ascii="宋体" w:hAnsi="宋体" w:eastAsia="宋体" w:cs="宋体"/>
          <w:b/>
          <w:bCs/>
          <w:sz w:val="24"/>
          <w:szCs w:val="24"/>
          <w:lang w:val="en-US" w:eastAsia="zh-CN"/>
        </w:rPr>
        <w:t>六</w:t>
      </w:r>
      <w:r>
        <w:rPr>
          <w:rFonts w:hint="default" w:ascii="宋体" w:hAnsi="宋体" w:eastAsia="宋体" w:cs="宋体"/>
          <w:b/>
          <w:bCs/>
          <w:sz w:val="24"/>
          <w:szCs w:val="24"/>
          <w:lang w:val="en-US" w:eastAsia="zh-CN"/>
        </w:rPr>
        <w:t>、定标办法</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b/>
          <w:sz w:val="22"/>
          <w:szCs w:val="22"/>
          <w:highlight w:val="none"/>
        </w:rPr>
      </w:pPr>
      <w:r>
        <w:rPr>
          <w:rFonts w:hint="default" w:ascii="Times New Roman" w:hAnsi="Times New Roman" w:eastAsia="新宋体" w:cs="Times New Roman"/>
          <w:sz w:val="22"/>
          <w:szCs w:val="22"/>
          <w:highlight w:val="none"/>
        </w:rPr>
        <w:t>1</w:t>
      </w:r>
      <w:r>
        <w:rPr>
          <w:rFonts w:hint="default" w:ascii="Times New Roman" w:hAnsi="Times New Roman" w:eastAsia="新宋体" w:cs="Times New Roman"/>
          <w:kern w:val="0"/>
          <w:sz w:val="22"/>
          <w:szCs w:val="22"/>
          <w:highlight w:val="none"/>
        </w:rPr>
        <w:t>、</w:t>
      </w:r>
      <w:r>
        <w:rPr>
          <w:rFonts w:hint="default" w:ascii="Times New Roman" w:hAnsi="Times New Roman" w:eastAsia="新宋体" w:cs="Times New Roman"/>
          <w:sz w:val="22"/>
          <w:szCs w:val="22"/>
          <w:highlight w:val="none"/>
        </w:rPr>
        <w:t>确定</w:t>
      </w:r>
      <w:r>
        <w:rPr>
          <w:rFonts w:hint="default" w:ascii="Times New Roman" w:hAnsi="Times New Roman" w:eastAsia="新宋体" w:cs="Times New Roman"/>
          <w:sz w:val="22"/>
          <w:szCs w:val="22"/>
          <w:highlight w:val="none"/>
          <w:lang w:eastAsia="zh-CN"/>
        </w:rPr>
        <w:t>成交</w:t>
      </w:r>
      <w:r>
        <w:rPr>
          <w:rFonts w:hint="default" w:ascii="Times New Roman" w:hAnsi="Times New Roman" w:eastAsia="新宋体" w:cs="Times New Roman"/>
          <w:sz w:val="22"/>
          <w:szCs w:val="22"/>
          <w:highlight w:val="none"/>
        </w:rPr>
        <w:t>候选人</w:t>
      </w:r>
    </w:p>
    <w:p>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sz w:val="22"/>
          <w:szCs w:val="22"/>
          <w:highlight w:val="none"/>
        </w:rPr>
      </w:pPr>
      <w:r>
        <w:rPr>
          <w:rFonts w:hint="default" w:ascii="Times New Roman" w:hAnsi="Times New Roman" w:eastAsia="新宋体" w:cs="Times New Roman"/>
          <w:sz w:val="22"/>
          <w:szCs w:val="22"/>
          <w:highlight w:val="none"/>
        </w:rPr>
        <w:t>1.1由</w:t>
      </w:r>
      <w:r>
        <w:rPr>
          <w:rFonts w:hint="default" w:ascii="Times New Roman" w:hAnsi="Times New Roman" w:eastAsia="新宋体" w:cs="Times New Roman"/>
          <w:sz w:val="22"/>
          <w:szCs w:val="22"/>
          <w:highlight w:val="none"/>
          <w:lang w:eastAsia="zh-CN"/>
        </w:rPr>
        <w:t>评审小组</w:t>
      </w:r>
      <w:r>
        <w:rPr>
          <w:rFonts w:hint="default" w:ascii="Times New Roman" w:hAnsi="Times New Roman" w:eastAsia="新宋体" w:cs="Times New Roman"/>
          <w:sz w:val="22"/>
          <w:szCs w:val="22"/>
          <w:highlight w:val="none"/>
        </w:rPr>
        <w:t>确定</w:t>
      </w:r>
      <w:r>
        <w:rPr>
          <w:rFonts w:hint="default" w:ascii="Times New Roman" w:hAnsi="Times New Roman" w:eastAsia="新宋体" w:cs="Times New Roman"/>
          <w:sz w:val="22"/>
          <w:szCs w:val="22"/>
          <w:highlight w:val="none"/>
          <w:lang w:eastAsia="zh-CN"/>
        </w:rPr>
        <w:t>成交</w:t>
      </w:r>
      <w:r>
        <w:rPr>
          <w:rFonts w:hint="default" w:ascii="Times New Roman" w:hAnsi="Times New Roman" w:eastAsia="新宋体" w:cs="Times New Roman"/>
          <w:sz w:val="22"/>
          <w:szCs w:val="22"/>
          <w:highlight w:val="none"/>
        </w:rPr>
        <w:t>候选人。</w:t>
      </w:r>
    </w:p>
    <w:p>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sz w:val="22"/>
          <w:szCs w:val="22"/>
          <w:highlight w:val="none"/>
        </w:rPr>
      </w:pPr>
      <w:r>
        <w:rPr>
          <w:rFonts w:hint="default" w:ascii="Times New Roman" w:hAnsi="Times New Roman" w:eastAsia="新宋体" w:cs="Times New Roman"/>
          <w:sz w:val="22"/>
          <w:szCs w:val="22"/>
          <w:highlight w:val="none"/>
        </w:rPr>
        <w:t>1.2</w:t>
      </w:r>
      <w:r>
        <w:rPr>
          <w:rFonts w:hint="default" w:ascii="Times New Roman" w:hAnsi="Times New Roman" w:eastAsia="新宋体" w:cs="Times New Roman"/>
          <w:sz w:val="22"/>
          <w:szCs w:val="22"/>
          <w:highlight w:val="none"/>
          <w:lang w:eastAsia="zh-CN"/>
        </w:rPr>
        <w:t>评审小组</w:t>
      </w:r>
      <w:r>
        <w:rPr>
          <w:rFonts w:hint="default" w:ascii="Times New Roman" w:hAnsi="Times New Roman" w:eastAsia="新宋体" w:cs="Times New Roman"/>
          <w:sz w:val="22"/>
          <w:szCs w:val="22"/>
          <w:highlight w:val="none"/>
        </w:rPr>
        <w:t>依据法律、法规及</w:t>
      </w:r>
      <w:r>
        <w:rPr>
          <w:rFonts w:hint="default" w:ascii="Times New Roman" w:hAnsi="Times New Roman" w:eastAsia="新宋体" w:cs="Times New Roman"/>
          <w:sz w:val="22"/>
          <w:szCs w:val="22"/>
          <w:highlight w:val="none"/>
          <w:lang w:eastAsia="zh-CN"/>
        </w:rPr>
        <w:t>比选文件</w:t>
      </w:r>
      <w:r>
        <w:rPr>
          <w:rFonts w:hint="default" w:ascii="Times New Roman" w:hAnsi="Times New Roman" w:eastAsia="新宋体" w:cs="Times New Roman"/>
          <w:sz w:val="22"/>
          <w:szCs w:val="22"/>
          <w:highlight w:val="none"/>
        </w:rPr>
        <w:t>有关规定按每个</w:t>
      </w:r>
      <w:r>
        <w:rPr>
          <w:rFonts w:hint="eastAsia" w:ascii="Times New Roman" w:hAnsi="Times New Roman" w:eastAsia="新宋体" w:cs="Times New Roman"/>
          <w:sz w:val="22"/>
          <w:szCs w:val="22"/>
          <w:highlight w:val="none"/>
          <w:lang w:val="en-US" w:eastAsia="zh-CN"/>
        </w:rPr>
        <w:t>序号、类型</w:t>
      </w:r>
      <w:r>
        <w:rPr>
          <w:rFonts w:hint="default" w:ascii="Times New Roman" w:hAnsi="Times New Roman" w:eastAsia="新宋体" w:cs="Times New Roman"/>
          <w:sz w:val="22"/>
          <w:szCs w:val="22"/>
          <w:highlight w:val="none"/>
        </w:rPr>
        <w:t>的</w:t>
      </w:r>
      <w:r>
        <w:rPr>
          <w:rFonts w:hint="default" w:ascii="Times New Roman" w:hAnsi="Times New Roman" w:eastAsia="新宋体" w:cs="Times New Roman"/>
          <w:sz w:val="22"/>
          <w:szCs w:val="22"/>
          <w:highlight w:val="none"/>
          <w:lang w:eastAsia="zh-CN"/>
        </w:rPr>
        <w:t>比选</w:t>
      </w:r>
      <w:r>
        <w:rPr>
          <w:rFonts w:hint="default" w:ascii="Times New Roman" w:hAnsi="Times New Roman" w:eastAsia="新宋体" w:cs="Times New Roman"/>
          <w:sz w:val="22"/>
          <w:szCs w:val="22"/>
          <w:highlight w:val="none"/>
        </w:rPr>
        <w:t>报价由低到高顺序排序，报价最低的前</w:t>
      </w:r>
      <w:r>
        <w:rPr>
          <w:rFonts w:hint="eastAsia" w:ascii="Times New Roman" w:hAnsi="Times New Roman" w:eastAsia="新宋体" w:cs="Times New Roman"/>
          <w:sz w:val="22"/>
          <w:szCs w:val="22"/>
          <w:highlight w:val="none"/>
          <w:lang w:val="en-US" w:eastAsia="zh-CN"/>
        </w:rPr>
        <w:t>三</w:t>
      </w:r>
      <w:r>
        <w:rPr>
          <w:rFonts w:hint="default" w:ascii="Times New Roman" w:hAnsi="Times New Roman" w:eastAsia="新宋体" w:cs="Times New Roman"/>
          <w:sz w:val="22"/>
          <w:szCs w:val="22"/>
          <w:highlight w:val="none"/>
        </w:rPr>
        <w:t>名的</w:t>
      </w:r>
      <w:r>
        <w:rPr>
          <w:rFonts w:hint="default" w:ascii="Times New Roman" w:hAnsi="Times New Roman" w:eastAsia="新宋体" w:cs="Times New Roman"/>
          <w:sz w:val="22"/>
          <w:szCs w:val="22"/>
          <w:highlight w:val="none"/>
          <w:lang w:eastAsia="zh-CN"/>
        </w:rPr>
        <w:t>比选申请人</w:t>
      </w:r>
      <w:r>
        <w:rPr>
          <w:rFonts w:hint="default" w:ascii="Times New Roman" w:hAnsi="Times New Roman" w:eastAsia="新宋体" w:cs="Times New Roman"/>
          <w:sz w:val="22"/>
          <w:szCs w:val="22"/>
          <w:highlight w:val="none"/>
        </w:rPr>
        <w:t>确定为该产品的第一</w:t>
      </w:r>
      <w:r>
        <w:rPr>
          <w:rFonts w:hint="eastAsia" w:ascii="Times New Roman" w:hAnsi="Times New Roman" w:eastAsia="新宋体" w:cs="Times New Roman"/>
          <w:sz w:val="22"/>
          <w:szCs w:val="22"/>
          <w:highlight w:val="none"/>
          <w:lang w:eastAsia="zh-CN"/>
        </w:rPr>
        <w:t>、</w:t>
      </w:r>
      <w:r>
        <w:rPr>
          <w:rFonts w:hint="default" w:ascii="Times New Roman" w:hAnsi="Times New Roman" w:eastAsia="新宋体" w:cs="Times New Roman"/>
          <w:sz w:val="22"/>
          <w:szCs w:val="22"/>
          <w:highlight w:val="none"/>
        </w:rPr>
        <w:t>第二</w:t>
      </w:r>
      <w:r>
        <w:rPr>
          <w:rFonts w:hint="eastAsia" w:ascii="Times New Roman" w:hAnsi="Times New Roman" w:eastAsia="新宋体" w:cs="Times New Roman"/>
          <w:sz w:val="22"/>
          <w:szCs w:val="22"/>
          <w:highlight w:val="none"/>
          <w:lang w:val="en-US" w:eastAsia="zh-CN"/>
        </w:rPr>
        <w:t>和第三</w:t>
      </w:r>
      <w:r>
        <w:rPr>
          <w:rFonts w:hint="default" w:ascii="Times New Roman" w:hAnsi="Times New Roman" w:eastAsia="新宋体" w:cs="Times New Roman"/>
          <w:sz w:val="22"/>
          <w:szCs w:val="22"/>
          <w:highlight w:val="none"/>
          <w:lang w:eastAsia="zh-CN"/>
        </w:rPr>
        <w:t>成交</w:t>
      </w:r>
      <w:r>
        <w:rPr>
          <w:rFonts w:hint="default" w:ascii="Times New Roman" w:hAnsi="Times New Roman" w:eastAsia="新宋体" w:cs="Times New Roman"/>
          <w:sz w:val="22"/>
          <w:szCs w:val="22"/>
          <w:highlight w:val="none"/>
        </w:rPr>
        <w:t>候选人</w:t>
      </w:r>
      <w:r>
        <w:rPr>
          <w:rFonts w:hint="default" w:ascii="Times New Roman" w:hAnsi="Times New Roman" w:eastAsia="新宋体" w:cs="Times New Roman"/>
          <w:b/>
          <w:sz w:val="22"/>
          <w:highlight w:val="none"/>
        </w:rPr>
        <w:t>（如果</w:t>
      </w:r>
      <w:r>
        <w:rPr>
          <w:rFonts w:hint="default" w:ascii="Times New Roman" w:hAnsi="Times New Roman" w:eastAsia="新宋体" w:cs="Times New Roman"/>
          <w:b/>
          <w:sz w:val="22"/>
          <w:highlight w:val="none"/>
          <w:lang w:eastAsia="zh-CN"/>
        </w:rPr>
        <w:t>比选申请人</w:t>
      </w:r>
      <w:r>
        <w:rPr>
          <w:rFonts w:hint="default" w:ascii="Times New Roman" w:hAnsi="Times New Roman" w:eastAsia="新宋体" w:cs="Times New Roman"/>
          <w:b/>
          <w:sz w:val="22"/>
          <w:highlight w:val="none"/>
        </w:rPr>
        <w:t>报价相同，则抽签决定）</w:t>
      </w:r>
      <w:r>
        <w:rPr>
          <w:rFonts w:hint="default" w:ascii="Times New Roman" w:hAnsi="Times New Roman" w:eastAsia="新宋体" w:cs="Times New Roman"/>
          <w:sz w:val="22"/>
          <w:szCs w:val="22"/>
          <w:highlight w:val="none"/>
        </w:rPr>
        <w:t>向</w:t>
      </w:r>
      <w:r>
        <w:rPr>
          <w:rFonts w:hint="default" w:ascii="Times New Roman" w:hAnsi="Times New Roman" w:eastAsia="新宋体" w:cs="Times New Roman"/>
          <w:sz w:val="22"/>
          <w:szCs w:val="22"/>
          <w:highlight w:val="none"/>
          <w:lang w:eastAsia="zh-CN"/>
        </w:rPr>
        <w:t>比选人</w:t>
      </w:r>
      <w:r>
        <w:rPr>
          <w:rFonts w:hint="default" w:ascii="Times New Roman" w:hAnsi="Times New Roman" w:eastAsia="新宋体" w:cs="Times New Roman"/>
          <w:sz w:val="22"/>
          <w:szCs w:val="22"/>
          <w:highlight w:val="none"/>
        </w:rPr>
        <w:t>推荐。</w:t>
      </w:r>
    </w:p>
    <w:p>
      <w:pPr>
        <w:keepNext w:val="0"/>
        <w:keepLines w:val="0"/>
        <w:pageBreakBefore w:val="0"/>
        <w:widowControl w:val="0"/>
        <w:kinsoku/>
        <w:wordWrap/>
        <w:overflowPunct/>
        <w:topLinePunct w:val="0"/>
        <w:autoSpaceDE/>
        <w:autoSpaceDN/>
        <w:bidi w:val="0"/>
        <w:adjustRightInd/>
        <w:snapToGrid/>
        <w:spacing w:line="400" w:lineRule="exact"/>
        <w:ind w:firstLine="541" w:firstLineChars="245"/>
        <w:textAlignment w:val="auto"/>
        <w:rPr>
          <w:rFonts w:hint="default" w:ascii="Times New Roman" w:hAnsi="Times New Roman" w:eastAsia="新宋体" w:cs="Times New Roman"/>
          <w:b/>
          <w:bCs/>
          <w:sz w:val="22"/>
          <w:szCs w:val="22"/>
          <w:highlight w:val="none"/>
          <w:lang w:eastAsia="zh-CN"/>
        </w:rPr>
      </w:pPr>
      <w:r>
        <w:rPr>
          <w:rFonts w:hint="default" w:ascii="Times New Roman" w:hAnsi="Times New Roman" w:eastAsia="新宋体" w:cs="Times New Roman"/>
          <w:b/>
          <w:bCs/>
          <w:sz w:val="22"/>
          <w:szCs w:val="22"/>
          <w:highlight w:val="none"/>
        </w:rPr>
        <w:t>2、确定</w:t>
      </w:r>
      <w:r>
        <w:rPr>
          <w:rFonts w:hint="default" w:ascii="Times New Roman" w:hAnsi="Times New Roman" w:eastAsia="新宋体" w:cs="Times New Roman"/>
          <w:b/>
          <w:bCs/>
          <w:sz w:val="22"/>
          <w:szCs w:val="22"/>
          <w:highlight w:val="none"/>
          <w:lang w:eastAsia="zh-CN"/>
        </w:rPr>
        <w:t>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新宋体" w:cs="Times New Roman"/>
          <w:b/>
          <w:bCs/>
          <w:sz w:val="22"/>
          <w:szCs w:val="22"/>
          <w:highlight w:val="none"/>
        </w:rPr>
      </w:pPr>
      <w:r>
        <w:rPr>
          <w:rFonts w:hint="default" w:ascii="Times New Roman" w:hAnsi="Times New Roman" w:eastAsia="新宋体" w:cs="Times New Roman"/>
          <w:b/>
          <w:bCs/>
          <w:sz w:val="22"/>
          <w:szCs w:val="22"/>
          <w:highlight w:val="none"/>
        </w:rPr>
        <w:t xml:space="preserve">     2.1</w:t>
      </w:r>
      <w:r>
        <w:rPr>
          <w:rFonts w:hint="default" w:ascii="Times New Roman" w:hAnsi="Times New Roman" w:eastAsia="新宋体" w:cs="Times New Roman"/>
          <w:b/>
          <w:bCs/>
          <w:sz w:val="22"/>
          <w:szCs w:val="22"/>
          <w:highlight w:val="none"/>
          <w:lang w:eastAsia="zh-CN"/>
        </w:rPr>
        <w:t>比选人</w:t>
      </w:r>
      <w:r>
        <w:rPr>
          <w:rFonts w:hint="default" w:ascii="Times New Roman" w:hAnsi="Times New Roman" w:eastAsia="新宋体" w:cs="Times New Roman"/>
          <w:b/>
          <w:bCs/>
          <w:sz w:val="22"/>
          <w:szCs w:val="22"/>
          <w:highlight w:val="none"/>
        </w:rPr>
        <w:t>按照</w:t>
      </w:r>
      <w:r>
        <w:rPr>
          <w:rFonts w:hint="default" w:ascii="Times New Roman" w:hAnsi="Times New Roman" w:eastAsia="新宋体" w:cs="Times New Roman"/>
          <w:b/>
          <w:bCs/>
          <w:sz w:val="22"/>
          <w:szCs w:val="22"/>
          <w:highlight w:val="none"/>
          <w:lang w:eastAsia="zh-CN"/>
        </w:rPr>
        <w:t>评审</w:t>
      </w:r>
      <w:r>
        <w:rPr>
          <w:rFonts w:hint="default" w:ascii="Times New Roman" w:hAnsi="Times New Roman" w:eastAsia="新宋体" w:cs="Times New Roman"/>
          <w:b/>
          <w:bCs/>
          <w:sz w:val="22"/>
          <w:szCs w:val="22"/>
          <w:highlight w:val="none"/>
        </w:rPr>
        <w:t>报告中推荐的</w:t>
      </w:r>
      <w:r>
        <w:rPr>
          <w:rFonts w:hint="default" w:ascii="Times New Roman" w:hAnsi="Times New Roman" w:eastAsia="新宋体" w:cs="Times New Roman"/>
          <w:b/>
          <w:bCs/>
          <w:sz w:val="22"/>
          <w:szCs w:val="22"/>
          <w:highlight w:val="none"/>
          <w:lang w:eastAsia="zh-CN"/>
        </w:rPr>
        <w:t>成交</w:t>
      </w:r>
      <w:r>
        <w:rPr>
          <w:rFonts w:hint="default" w:ascii="Times New Roman" w:hAnsi="Times New Roman" w:eastAsia="新宋体" w:cs="Times New Roman"/>
          <w:b/>
          <w:bCs/>
          <w:sz w:val="22"/>
          <w:szCs w:val="22"/>
          <w:highlight w:val="none"/>
        </w:rPr>
        <w:t>候选供应商顺序确定每个</w:t>
      </w:r>
      <w:r>
        <w:rPr>
          <w:rFonts w:hint="eastAsia" w:ascii="Times New Roman" w:hAnsi="Times New Roman" w:eastAsia="新宋体" w:cs="Times New Roman"/>
          <w:b/>
          <w:bCs/>
          <w:sz w:val="22"/>
          <w:szCs w:val="22"/>
          <w:highlight w:val="none"/>
          <w:lang w:val="en-US" w:eastAsia="zh-CN"/>
        </w:rPr>
        <w:t>序号、类型</w:t>
      </w:r>
      <w:r>
        <w:rPr>
          <w:rFonts w:hint="default" w:ascii="Times New Roman" w:hAnsi="Times New Roman" w:eastAsia="新宋体" w:cs="Times New Roman"/>
          <w:b/>
          <w:bCs/>
          <w:sz w:val="22"/>
          <w:szCs w:val="22"/>
          <w:highlight w:val="none"/>
        </w:rPr>
        <w:t>的</w:t>
      </w:r>
      <w:r>
        <w:rPr>
          <w:rFonts w:hint="default" w:ascii="Times New Roman" w:hAnsi="Times New Roman" w:eastAsia="新宋体" w:cs="Times New Roman"/>
          <w:b/>
          <w:bCs/>
          <w:sz w:val="22"/>
          <w:szCs w:val="22"/>
          <w:highlight w:val="none"/>
          <w:lang w:eastAsia="zh-CN"/>
        </w:rPr>
        <w:t>成交供应商</w:t>
      </w:r>
      <w:r>
        <w:rPr>
          <w:rFonts w:hint="default" w:ascii="Times New Roman" w:hAnsi="Times New Roman" w:eastAsia="新宋体" w:cs="Times New Roman"/>
          <w:b/>
          <w:bCs/>
          <w:sz w:val="22"/>
          <w:szCs w:val="22"/>
          <w:highlight w:val="none"/>
        </w:rPr>
        <w:t>；也可以事先授权</w:t>
      </w:r>
      <w:r>
        <w:rPr>
          <w:rFonts w:hint="default" w:ascii="Times New Roman" w:hAnsi="Times New Roman" w:eastAsia="新宋体" w:cs="Times New Roman"/>
          <w:b/>
          <w:bCs/>
          <w:sz w:val="22"/>
          <w:szCs w:val="22"/>
          <w:highlight w:val="none"/>
          <w:lang w:eastAsia="zh-CN"/>
        </w:rPr>
        <w:t>评审小组</w:t>
      </w:r>
      <w:r>
        <w:rPr>
          <w:rFonts w:hint="default" w:ascii="Times New Roman" w:hAnsi="Times New Roman" w:eastAsia="新宋体" w:cs="Times New Roman"/>
          <w:b/>
          <w:bCs/>
          <w:sz w:val="22"/>
          <w:szCs w:val="22"/>
          <w:highlight w:val="none"/>
        </w:rPr>
        <w:t>按照推荐的</w:t>
      </w:r>
      <w:r>
        <w:rPr>
          <w:rFonts w:hint="default" w:ascii="Times New Roman" w:hAnsi="Times New Roman" w:eastAsia="新宋体" w:cs="Times New Roman"/>
          <w:b/>
          <w:bCs/>
          <w:sz w:val="22"/>
          <w:szCs w:val="22"/>
          <w:highlight w:val="none"/>
          <w:lang w:eastAsia="zh-CN"/>
        </w:rPr>
        <w:t>成交</w:t>
      </w:r>
      <w:r>
        <w:rPr>
          <w:rFonts w:hint="default" w:ascii="Times New Roman" w:hAnsi="Times New Roman" w:eastAsia="新宋体" w:cs="Times New Roman"/>
          <w:b/>
          <w:bCs/>
          <w:sz w:val="22"/>
          <w:szCs w:val="22"/>
          <w:highlight w:val="none"/>
        </w:rPr>
        <w:t>候选供应商顺序直接确定每个</w:t>
      </w:r>
      <w:r>
        <w:rPr>
          <w:rFonts w:hint="eastAsia" w:ascii="Times New Roman" w:hAnsi="Times New Roman" w:eastAsia="新宋体" w:cs="Times New Roman"/>
          <w:b/>
          <w:bCs/>
          <w:sz w:val="22"/>
          <w:szCs w:val="22"/>
          <w:highlight w:val="none"/>
          <w:lang w:val="en-US" w:eastAsia="zh-CN"/>
        </w:rPr>
        <w:t>序号、类型</w:t>
      </w:r>
      <w:r>
        <w:rPr>
          <w:rFonts w:hint="default" w:ascii="Times New Roman" w:hAnsi="Times New Roman" w:eastAsia="新宋体" w:cs="Times New Roman"/>
          <w:b/>
          <w:bCs/>
          <w:sz w:val="22"/>
          <w:szCs w:val="22"/>
          <w:highlight w:val="none"/>
        </w:rPr>
        <w:t>的</w:t>
      </w:r>
      <w:r>
        <w:rPr>
          <w:rFonts w:hint="default" w:ascii="Times New Roman" w:hAnsi="Times New Roman" w:eastAsia="新宋体" w:cs="Times New Roman"/>
          <w:b/>
          <w:bCs/>
          <w:sz w:val="22"/>
          <w:szCs w:val="22"/>
          <w:highlight w:val="none"/>
          <w:lang w:eastAsia="zh-CN"/>
        </w:rPr>
        <w:t>成交供应商</w:t>
      </w:r>
      <w:r>
        <w:rPr>
          <w:rFonts w:hint="default" w:ascii="Times New Roman" w:hAnsi="Times New Roman" w:eastAsia="新宋体" w:cs="Times New Roman"/>
          <w:b/>
          <w:bCs/>
          <w:sz w:val="22"/>
          <w:szCs w:val="22"/>
          <w:highlight w:val="none"/>
        </w:rPr>
        <w:t>。</w:t>
      </w:r>
      <w:r>
        <w:rPr>
          <w:rFonts w:hint="default" w:ascii="Times New Roman" w:hAnsi="Times New Roman" w:eastAsia="新宋体" w:cs="Times New Roman"/>
          <w:b/>
          <w:bCs/>
          <w:sz w:val="22"/>
          <w:szCs w:val="22"/>
          <w:highlight w:val="none"/>
          <w:lang w:eastAsia="zh-CN"/>
        </w:rPr>
        <w:t>成交</w:t>
      </w:r>
      <w:r>
        <w:rPr>
          <w:rFonts w:hint="default" w:ascii="Times New Roman" w:hAnsi="Times New Roman" w:eastAsia="新宋体" w:cs="Times New Roman"/>
          <w:b/>
          <w:bCs/>
          <w:sz w:val="22"/>
          <w:szCs w:val="22"/>
          <w:highlight w:val="none"/>
        </w:rPr>
        <w:t>候选人并列的，采取随机抽取的方式确定。</w:t>
      </w:r>
    </w:p>
    <w:p>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sz w:val="22"/>
          <w:szCs w:val="22"/>
          <w:highlight w:val="none"/>
          <w:lang w:val="en-US" w:eastAsia="zh-CN"/>
        </w:rPr>
      </w:pPr>
      <w:r>
        <w:rPr>
          <w:rFonts w:hint="default" w:ascii="Times New Roman" w:hAnsi="Times New Roman" w:eastAsia="新宋体" w:cs="Times New Roman"/>
          <w:sz w:val="22"/>
          <w:szCs w:val="22"/>
          <w:highlight w:val="none"/>
        </w:rPr>
        <w:t>2.2如</w:t>
      </w:r>
      <w:r>
        <w:rPr>
          <w:rFonts w:hint="default" w:ascii="Times New Roman" w:hAnsi="Times New Roman" w:eastAsia="新宋体" w:cs="Times New Roman"/>
          <w:sz w:val="22"/>
          <w:szCs w:val="22"/>
          <w:highlight w:val="none"/>
          <w:lang w:eastAsia="zh-CN"/>
        </w:rPr>
        <w:t>成交供应商</w:t>
      </w:r>
      <w:r>
        <w:rPr>
          <w:rFonts w:hint="default" w:ascii="Times New Roman" w:hAnsi="Times New Roman" w:eastAsia="新宋体" w:cs="Times New Roman"/>
          <w:sz w:val="22"/>
          <w:szCs w:val="22"/>
          <w:highlight w:val="none"/>
        </w:rPr>
        <w:t>放弃</w:t>
      </w:r>
      <w:r>
        <w:rPr>
          <w:rFonts w:hint="default" w:ascii="Times New Roman" w:hAnsi="Times New Roman" w:eastAsia="新宋体" w:cs="Times New Roman"/>
          <w:sz w:val="22"/>
          <w:szCs w:val="22"/>
          <w:highlight w:val="none"/>
          <w:lang w:eastAsia="zh-CN"/>
        </w:rPr>
        <w:t>成交</w:t>
      </w:r>
      <w:r>
        <w:rPr>
          <w:rFonts w:hint="default" w:ascii="Times New Roman" w:hAnsi="Times New Roman" w:eastAsia="新宋体" w:cs="Times New Roman"/>
          <w:sz w:val="22"/>
          <w:szCs w:val="22"/>
          <w:highlight w:val="none"/>
        </w:rPr>
        <w:t>、或未能在规定时间内与采购单位签订合同的；或者经质疑，</w:t>
      </w:r>
      <w:r>
        <w:rPr>
          <w:rFonts w:hint="default" w:ascii="Times New Roman" w:hAnsi="Times New Roman" w:eastAsia="新宋体" w:cs="Times New Roman"/>
          <w:sz w:val="22"/>
          <w:szCs w:val="22"/>
          <w:highlight w:val="none"/>
          <w:lang w:eastAsia="zh-CN"/>
        </w:rPr>
        <w:t>比选人</w:t>
      </w:r>
      <w:r>
        <w:rPr>
          <w:rFonts w:hint="default" w:ascii="Times New Roman" w:hAnsi="Times New Roman" w:eastAsia="新宋体" w:cs="Times New Roman"/>
          <w:sz w:val="22"/>
          <w:szCs w:val="22"/>
          <w:highlight w:val="none"/>
        </w:rPr>
        <w:t>审查后，确因排名第一的候选人在本次</w:t>
      </w:r>
      <w:r>
        <w:rPr>
          <w:rFonts w:hint="default" w:ascii="Times New Roman" w:hAnsi="Times New Roman" w:eastAsia="新宋体" w:cs="Times New Roman"/>
          <w:sz w:val="22"/>
          <w:szCs w:val="22"/>
          <w:highlight w:val="none"/>
          <w:lang w:eastAsia="zh-CN"/>
        </w:rPr>
        <w:t>比选</w:t>
      </w:r>
      <w:r>
        <w:rPr>
          <w:rFonts w:hint="default" w:ascii="Times New Roman" w:hAnsi="Times New Roman" w:eastAsia="新宋体" w:cs="Times New Roman"/>
          <w:sz w:val="22"/>
          <w:szCs w:val="22"/>
          <w:highlight w:val="none"/>
        </w:rPr>
        <w:t>活动中存在违法违规行为或其他原因使质疑成立的，</w:t>
      </w:r>
      <w:r>
        <w:rPr>
          <w:rFonts w:hint="default" w:ascii="Times New Roman" w:hAnsi="Times New Roman" w:eastAsia="新宋体" w:cs="Times New Roman"/>
          <w:sz w:val="22"/>
          <w:szCs w:val="22"/>
          <w:highlight w:val="none"/>
          <w:lang w:eastAsia="zh-CN"/>
        </w:rPr>
        <w:t>比选人</w:t>
      </w:r>
      <w:r>
        <w:rPr>
          <w:rFonts w:hint="default" w:ascii="Times New Roman" w:hAnsi="Times New Roman" w:eastAsia="新宋体" w:cs="Times New Roman"/>
          <w:sz w:val="22"/>
          <w:szCs w:val="22"/>
          <w:highlight w:val="none"/>
        </w:rPr>
        <w:t>可以视情况直接确定排名第二的候选人为</w:t>
      </w:r>
      <w:r>
        <w:rPr>
          <w:rFonts w:hint="default" w:ascii="Times New Roman" w:hAnsi="Times New Roman" w:eastAsia="新宋体" w:cs="Times New Roman"/>
          <w:sz w:val="22"/>
          <w:szCs w:val="22"/>
          <w:highlight w:val="none"/>
          <w:lang w:eastAsia="zh-CN"/>
        </w:rPr>
        <w:t>成交供应商</w:t>
      </w:r>
      <w:r>
        <w:rPr>
          <w:rFonts w:hint="default" w:ascii="Times New Roman" w:hAnsi="Times New Roman" w:eastAsia="新宋体" w:cs="Times New Roman"/>
          <w:sz w:val="22"/>
          <w:szCs w:val="22"/>
          <w:highlight w:val="none"/>
        </w:rPr>
        <w:t>或重新组织</w:t>
      </w:r>
      <w:r>
        <w:rPr>
          <w:rFonts w:hint="default" w:ascii="Times New Roman" w:hAnsi="Times New Roman" w:eastAsia="新宋体" w:cs="Times New Roman"/>
          <w:sz w:val="22"/>
          <w:szCs w:val="22"/>
          <w:highlight w:val="none"/>
          <w:lang w:eastAsia="zh-CN"/>
        </w:rPr>
        <w:t>比选</w:t>
      </w:r>
      <w:r>
        <w:rPr>
          <w:rFonts w:hint="eastAsia" w:ascii="Times New Roman" w:hAnsi="Times New Roman" w:eastAsia="新宋体" w:cs="Times New Roman"/>
          <w:sz w:val="22"/>
          <w:szCs w:val="22"/>
          <w:highlight w:val="none"/>
          <w:lang w:eastAsia="zh-CN"/>
        </w:rPr>
        <w:t>，</w:t>
      </w:r>
      <w:r>
        <w:rPr>
          <w:rFonts w:hint="eastAsia" w:ascii="Times New Roman" w:hAnsi="Times New Roman" w:eastAsia="新宋体" w:cs="Times New Roman"/>
          <w:sz w:val="22"/>
          <w:szCs w:val="22"/>
          <w:highlight w:val="none"/>
          <w:lang w:val="en-US" w:eastAsia="zh-CN"/>
        </w:rPr>
        <w:t>以此类推。</w:t>
      </w:r>
    </w:p>
    <w:p>
      <w:pPr>
        <w:ind w:firstLine="482" w:firstLineChars="200"/>
        <w:jc w:val="left"/>
        <w:rPr>
          <w:rFonts w:hint="eastAsia" w:ascii="宋体" w:hAnsi="宋体" w:eastAsia="宋体" w:cs="宋体"/>
          <w:b/>
          <w:bCs/>
          <w:sz w:val="24"/>
          <w:szCs w:val="24"/>
        </w:rPr>
      </w:pPr>
    </w:p>
    <w:p>
      <w:pPr>
        <w:ind w:firstLine="482" w:firstLineChars="200"/>
        <w:jc w:val="left"/>
        <w:rPr>
          <w:rFonts w:hint="eastAsia" w:ascii="宋体" w:hAnsi="宋体" w:eastAsia="宋体" w:cs="宋体"/>
          <w:b/>
          <w:bCs/>
          <w:sz w:val="24"/>
          <w:szCs w:val="24"/>
        </w:rPr>
      </w:pPr>
    </w:p>
    <w:p>
      <w:pPr>
        <w:spacing w:line="450" w:lineRule="exact"/>
        <w:ind w:firstLine="442" w:firstLineChars="200"/>
        <w:rPr>
          <w:rFonts w:hint="eastAsia" w:ascii="新宋体" w:hAnsi="新宋体" w:eastAsia="新宋体" w:cs="新宋体"/>
          <w:b/>
          <w:sz w:val="22"/>
          <w:szCs w:val="22"/>
          <w:highlight w:val="none"/>
        </w:rPr>
      </w:pPr>
    </w:p>
    <w:p>
      <w:pPr>
        <w:rPr>
          <w:rFonts w:ascii="仿宋" w:hAnsi="仿宋" w:eastAsia="仿宋"/>
          <w:sz w:val="28"/>
          <w:szCs w:val="28"/>
        </w:rPr>
      </w:pPr>
    </w:p>
    <w:p>
      <w:pPr>
        <w:rPr>
          <w:rFonts w:hint="eastAsia" w:ascii="仿宋" w:hAnsi="仿宋" w:eastAsia="仿宋"/>
          <w:b/>
          <w:bCs/>
          <w:sz w:val="32"/>
          <w:szCs w:val="32"/>
        </w:rPr>
      </w:pPr>
    </w:p>
    <w:p>
      <w:pPr>
        <w:jc w:val="center"/>
        <w:rPr>
          <w:rFonts w:hint="eastAsia" w:ascii="仿宋" w:hAnsi="仿宋" w:eastAsia="仿宋"/>
          <w:b/>
          <w:bCs/>
          <w:sz w:val="32"/>
          <w:szCs w:val="32"/>
        </w:rPr>
        <w:sectPr>
          <w:pgSz w:w="11906" w:h="16838"/>
          <w:pgMar w:top="1440" w:right="1800" w:bottom="1440" w:left="1800" w:header="851" w:footer="992" w:gutter="0"/>
          <w:cols w:space="425" w:num="1"/>
          <w:docGrid w:type="lines" w:linePitch="312" w:charSpace="0"/>
        </w:sectPr>
      </w:pPr>
    </w:p>
    <w:p>
      <w:pPr>
        <w:jc w:val="center"/>
        <w:rPr>
          <w:rFonts w:ascii="仿宋" w:hAnsi="仿宋" w:eastAsia="仿宋"/>
          <w:b/>
          <w:bCs/>
          <w:sz w:val="32"/>
          <w:szCs w:val="32"/>
        </w:rPr>
      </w:pPr>
      <w:r>
        <w:rPr>
          <w:rFonts w:hint="eastAsia" w:ascii="仿宋" w:hAnsi="仿宋" w:eastAsia="仿宋"/>
          <w:b/>
          <w:bCs/>
          <w:sz w:val="32"/>
          <w:szCs w:val="32"/>
        </w:rPr>
        <w:t>检验科室内质控品采购项目</w:t>
      </w:r>
      <w:r>
        <w:rPr>
          <w:rFonts w:hint="eastAsia" w:ascii="仿宋" w:hAnsi="仿宋" w:eastAsia="仿宋"/>
          <w:b/>
          <w:bCs/>
          <w:sz w:val="32"/>
          <w:szCs w:val="32"/>
          <w:lang w:val="en-US" w:eastAsia="zh-CN"/>
        </w:rPr>
        <w:t xml:space="preserve"> </w:t>
      </w:r>
      <w:r>
        <w:rPr>
          <w:rFonts w:hint="eastAsia" w:ascii="仿宋" w:hAnsi="仿宋" w:eastAsia="仿宋"/>
          <w:b/>
          <w:bCs/>
          <w:sz w:val="32"/>
          <w:szCs w:val="32"/>
          <w:lang w:eastAsia="zh-CN"/>
        </w:rPr>
        <w:t>比价</w:t>
      </w:r>
      <w:r>
        <w:rPr>
          <w:rFonts w:hint="eastAsia" w:ascii="仿宋" w:hAnsi="仿宋" w:eastAsia="仿宋"/>
          <w:b/>
          <w:bCs/>
          <w:sz w:val="32"/>
          <w:szCs w:val="32"/>
        </w:rPr>
        <w:t>响应</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检验科年度室内质控品需求包含凝血系列</w:t>
      </w:r>
      <w:r>
        <w:rPr>
          <w:rFonts w:hint="eastAsia" w:ascii="宋体" w:hAnsi="宋体" w:eastAsia="宋体" w:cs="宋体"/>
          <w:sz w:val="24"/>
          <w:szCs w:val="24"/>
          <w:lang w:eastAsia="zh-CN"/>
        </w:rPr>
        <w:t>、肿瘤标志物、特定蛋白、生化、TORCH、尿液蛋白、尿液生化</w:t>
      </w:r>
      <w:r>
        <w:rPr>
          <w:rFonts w:hint="eastAsia" w:ascii="宋体" w:hAnsi="宋体" w:eastAsia="宋体" w:cs="宋体"/>
          <w:sz w:val="24"/>
          <w:szCs w:val="24"/>
        </w:rPr>
        <w:t>，分项报价表如下所示：</w:t>
      </w:r>
    </w:p>
    <w:tbl>
      <w:tblPr>
        <w:tblStyle w:val="9"/>
        <w:tblW w:w="5414" w:type="pct"/>
        <w:tblInd w:w="-711"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396"/>
        <w:gridCol w:w="723"/>
        <w:gridCol w:w="4139"/>
        <w:gridCol w:w="946"/>
        <w:gridCol w:w="1154"/>
        <w:gridCol w:w="1054"/>
        <w:gridCol w:w="816"/>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03" w:hRule="atLeast"/>
        </w:trPr>
        <w:tc>
          <w:tcPr>
            <w:tcW w:w="214" w:type="pct"/>
            <w:tcBorders>
              <w:top w:val="single" w:color="auto" w:sz="4" w:space="0"/>
              <w:left w:val="single" w:color="auto" w:sz="4" w:space="0"/>
              <w:bottom w:val="single" w:color="000000" w:sz="6" w:space="0"/>
              <w:right w:val="single" w:color="auto" w:sz="4" w:space="0"/>
              <w:tl2br w:val="nil"/>
              <w:tr2bl w:val="nil"/>
            </w:tcBorders>
            <w:noWrap w:val="0"/>
            <w:vAlign w:val="center"/>
          </w:tcPr>
          <w:p>
            <w:pPr>
              <w:rPr>
                <w:rFonts w:hint="eastAsia"/>
                <w:sz w:val="18"/>
                <w:szCs w:val="20"/>
              </w:rPr>
            </w:pPr>
            <w:r>
              <w:rPr>
                <w:rFonts w:hint="eastAsia"/>
                <w:sz w:val="18"/>
                <w:szCs w:val="20"/>
              </w:rPr>
              <w:t>序号</w:t>
            </w:r>
          </w:p>
        </w:tc>
        <w:tc>
          <w:tcPr>
            <w:tcW w:w="391" w:type="pct"/>
            <w:tcBorders>
              <w:top w:val="single" w:color="auto" w:sz="4" w:space="0"/>
              <w:left w:val="single" w:color="000000" w:sz="6" w:space="0"/>
              <w:bottom w:val="single" w:color="000000" w:sz="6" w:space="0"/>
              <w:right w:val="single" w:color="auto" w:sz="4" w:space="0"/>
              <w:tl2br w:val="nil"/>
              <w:tr2bl w:val="nil"/>
            </w:tcBorders>
            <w:noWrap w:val="0"/>
            <w:vAlign w:val="center"/>
          </w:tcPr>
          <w:p>
            <w:pPr>
              <w:rPr>
                <w:rFonts w:hint="eastAsia"/>
                <w:sz w:val="18"/>
                <w:szCs w:val="20"/>
              </w:rPr>
            </w:pPr>
            <w:r>
              <w:rPr>
                <w:rFonts w:hint="eastAsia"/>
                <w:sz w:val="18"/>
                <w:szCs w:val="20"/>
              </w:rPr>
              <w:t>类型</w:t>
            </w:r>
          </w:p>
        </w:tc>
        <w:tc>
          <w:tcPr>
            <w:tcW w:w="2243" w:type="pct"/>
            <w:tcBorders>
              <w:top w:val="single" w:color="auto" w:sz="4" w:space="0"/>
              <w:left w:val="single" w:color="auto" w:sz="4" w:space="0"/>
              <w:bottom w:val="single" w:color="000000" w:sz="6" w:space="0"/>
              <w:right w:val="single" w:color="000000" w:sz="6" w:space="0"/>
              <w:tl2br w:val="nil"/>
              <w:tr2bl w:val="nil"/>
            </w:tcBorders>
            <w:noWrap w:val="0"/>
            <w:vAlign w:val="center"/>
          </w:tcPr>
          <w:p>
            <w:pPr>
              <w:rPr>
                <w:rFonts w:hint="eastAsia"/>
                <w:sz w:val="18"/>
                <w:szCs w:val="20"/>
              </w:rPr>
            </w:pPr>
            <w:r>
              <w:rPr>
                <w:rFonts w:hint="eastAsia"/>
                <w:sz w:val="18"/>
                <w:szCs w:val="20"/>
              </w:rPr>
              <w:t>具体包含检测项目</w:t>
            </w:r>
          </w:p>
        </w:tc>
        <w:tc>
          <w:tcPr>
            <w:tcW w:w="513" w:type="pct"/>
            <w:tcBorders>
              <w:top w:val="single" w:color="auto" w:sz="4" w:space="0"/>
              <w:left w:val="single" w:color="000000" w:sz="6" w:space="0"/>
              <w:bottom w:val="single" w:color="000000" w:sz="6" w:space="0"/>
              <w:right w:val="single" w:color="auto" w:sz="4" w:space="0"/>
              <w:tl2br w:val="nil"/>
              <w:tr2bl w:val="nil"/>
            </w:tcBorders>
            <w:noWrap w:val="0"/>
            <w:vAlign w:val="center"/>
          </w:tcPr>
          <w:p>
            <w:pPr>
              <w:rPr>
                <w:rFonts w:hint="eastAsia"/>
                <w:sz w:val="18"/>
                <w:szCs w:val="20"/>
              </w:rPr>
            </w:pPr>
            <w:r>
              <w:rPr>
                <w:rFonts w:hint="eastAsia"/>
                <w:sz w:val="18"/>
                <w:szCs w:val="20"/>
              </w:rPr>
              <w:t>年度需求量预计（ml）</w:t>
            </w:r>
          </w:p>
        </w:tc>
        <w:tc>
          <w:tcPr>
            <w:tcW w:w="626" w:type="pct"/>
            <w:tcBorders>
              <w:top w:val="single" w:color="auto" w:sz="4" w:space="0"/>
              <w:left w:val="single" w:color="000000" w:sz="6" w:space="0"/>
              <w:bottom w:val="single" w:color="000000" w:sz="6" w:space="0"/>
              <w:right w:val="single" w:color="auto" w:sz="4" w:space="0"/>
              <w:tl2br w:val="nil"/>
              <w:tr2bl w:val="nil"/>
            </w:tcBorders>
            <w:noWrap w:val="0"/>
            <w:vAlign w:val="center"/>
          </w:tcPr>
          <w:p>
            <w:pPr>
              <w:rPr>
                <w:rFonts w:hint="eastAsia"/>
                <w:sz w:val="18"/>
                <w:szCs w:val="20"/>
                <w:lang w:eastAsia="zh-CN"/>
              </w:rPr>
            </w:pPr>
            <w:r>
              <w:rPr>
                <w:rFonts w:hint="eastAsia"/>
                <w:sz w:val="18"/>
                <w:szCs w:val="20"/>
                <w:lang w:eastAsia="zh-CN"/>
              </w:rPr>
              <w:t>型号和规格</w:t>
            </w:r>
          </w:p>
        </w:tc>
        <w:tc>
          <w:tcPr>
            <w:tcW w:w="571" w:type="pct"/>
            <w:tcBorders>
              <w:top w:val="single" w:color="auto" w:sz="4" w:space="0"/>
              <w:left w:val="single" w:color="000000" w:sz="6" w:space="0"/>
              <w:bottom w:val="single" w:color="000000" w:sz="6" w:space="0"/>
              <w:right w:val="single" w:color="auto" w:sz="4" w:space="0"/>
              <w:tl2br w:val="nil"/>
              <w:tr2bl w:val="nil"/>
            </w:tcBorders>
            <w:noWrap w:val="0"/>
            <w:vAlign w:val="center"/>
          </w:tcPr>
          <w:p>
            <w:pPr>
              <w:rPr>
                <w:rFonts w:hint="default"/>
                <w:sz w:val="18"/>
                <w:szCs w:val="20"/>
                <w:lang w:val="en-US" w:eastAsia="zh-CN"/>
              </w:rPr>
            </w:pPr>
            <w:r>
              <w:rPr>
                <w:rFonts w:hint="eastAsia"/>
                <w:sz w:val="18"/>
                <w:szCs w:val="20"/>
                <w:lang w:eastAsia="zh-CN"/>
              </w:rPr>
              <w:t>每</w:t>
            </w:r>
            <w:r>
              <w:rPr>
                <w:rFonts w:hint="eastAsia"/>
                <w:sz w:val="18"/>
                <w:szCs w:val="20"/>
                <w:lang w:val="en-US" w:eastAsia="zh-CN"/>
              </w:rPr>
              <w:t>ml价格（元）</w:t>
            </w:r>
          </w:p>
        </w:tc>
        <w:tc>
          <w:tcPr>
            <w:tcW w:w="437" w:type="pct"/>
            <w:tcBorders>
              <w:top w:val="single" w:color="auto" w:sz="4" w:space="0"/>
              <w:left w:val="single" w:color="000000" w:sz="6" w:space="0"/>
              <w:bottom w:val="single" w:color="000000" w:sz="6" w:space="0"/>
              <w:right w:val="single" w:color="auto" w:sz="4" w:space="0"/>
              <w:tl2br w:val="nil"/>
              <w:tr2bl w:val="nil"/>
            </w:tcBorders>
            <w:noWrap w:val="0"/>
            <w:vAlign w:val="center"/>
          </w:tcPr>
          <w:p>
            <w:pPr>
              <w:rPr>
                <w:rFonts w:hint="eastAsia"/>
                <w:sz w:val="18"/>
                <w:szCs w:val="20"/>
                <w:lang w:eastAsia="zh-CN"/>
              </w:rPr>
            </w:pPr>
            <w:r>
              <w:rPr>
                <w:rFonts w:hint="eastAsia"/>
                <w:sz w:val="18"/>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42" w:hRule="atLeast"/>
        </w:trPr>
        <w:tc>
          <w:tcPr>
            <w:tcW w:w="214" w:type="pct"/>
            <w:tcBorders>
              <w:top w:val="single" w:color="000000" w:sz="6" w:space="0"/>
              <w:left w:val="single" w:color="auto" w:sz="4" w:space="0"/>
              <w:bottom w:val="single" w:color="auto" w:sz="4" w:space="0"/>
              <w:right w:val="single" w:color="auto" w:sz="4" w:space="0"/>
              <w:tl2br w:val="nil"/>
              <w:tr2bl w:val="nil"/>
            </w:tcBorders>
            <w:noWrap w:val="0"/>
            <w:vAlign w:val="top"/>
          </w:tcPr>
          <w:p>
            <w:pPr>
              <w:rPr>
                <w:rFonts w:hint="eastAsia"/>
                <w:sz w:val="18"/>
                <w:szCs w:val="20"/>
              </w:rPr>
            </w:pPr>
            <w:r>
              <w:rPr>
                <w:rFonts w:hint="eastAsia"/>
                <w:sz w:val="18"/>
                <w:szCs w:val="20"/>
              </w:rPr>
              <w:t>1</w:t>
            </w:r>
          </w:p>
        </w:tc>
        <w:tc>
          <w:tcPr>
            <w:tcW w:w="391"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jc w:val="center"/>
              <w:rPr>
                <w:rFonts w:hint="eastAsia"/>
                <w:sz w:val="18"/>
                <w:szCs w:val="20"/>
              </w:rPr>
            </w:pPr>
            <w:r>
              <w:rPr>
                <w:rFonts w:hint="eastAsia"/>
                <w:sz w:val="18"/>
                <w:szCs w:val="20"/>
              </w:rPr>
              <w:t>凝血系列</w:t>
            </w:r>
          </w:p>
        </w:tc>
        <w:tc>
          <w:tcPr>
            <w:tcW w:w="2243" w:type="pct"/>
            <w:tcBorders>
              <w:top w:val="single" w:color="000000" w:sz="6" w:space="0"/>
              <w:left w:val="single" w:color="auto" w:sz="4" w:space="0"/>
              <w:bottom w:val="single" w:color="auto" w:sz="4" w:space="0"/>
              <w:right w:val="single" w:color="000000" w:sz="6" w:space="0"/>
              <w:tl2br w:val="nil"/>
              <w:tr2bl w:val="nil"/>
            </w:tcBorders>
            <w:noWrap w:val="0"/>
            <w:vAlign w:val="center"/>
          </w:tcPr>
          <w:p>
            <w:pPr>
              <w:rPr>
                <w:rFonts w:hint="eastAsia"/>
                <w:sz w:val="18"/>
                <w:szCs w:val="20"/>
              </w:rPr>
            </w:pPr>
            <w:r>
              <w:rPr>
                <w:rFonts w:hint="eastAsia"/>
                <w:sz w:val="18"/>
                <w:szCs w:val="20"/>
              </w:rPr>
              <w:t>PT、APTT、FIB、TT、FDP、D-D(DDU）、AT-III、PTINR、D-D(FEU）</w:t>
            </w:r>
          </w:p>
        </w:tc>
        <w:tc>
          <w:tcPr>
            <w:tcW w:w="513"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r>
              <w:rPr>
                <w:rFonts w:hint="eastAsia"/>
                <w:sz w:val="18"/>
                <w:szCs w:val="20"/>
              </w:rPr>
              <w:t>双水平各1000ml</w:t>
            </w:r>
          </w:p>
        </w:tc>
        <w:tc>
          <w:tcPr>
            <w:tcW w:w="626"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571"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437"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72" w:hRule="atLeast"/>
        </w:trPr>
        <w:tc>
          <w:tcPr>
            <w:tcW w:w="214" w:type="pct"/>
            <w:tcBorders>
              <w:top w:val="single" w:color="000000" w:sz="6" w:space="0"/>
              <w:left w:val="single" w:color="auto" w:sz="4" w:space="0"/>
              <w:bottom w:val="single" w:color="auto" w:sz="4" w:space="0"/>
              <w:right w:val="single" w:color="auto" w:sz="4" w:space="0"/>
              <w:tl2br w:val="nil"/>
              <w:tr2bl w:val="nil"/>
            </w:tcBorders>
            <w:noWrap w:val="0"/>
            <w:vAlign w:val="top"/>
          </w:tcPr>
          <w:p>
            <w:pPr>
              <w:rPr>
                <w:rFonts w:hint="eastAsia"/>
                <w:sz w:val="18"/>
                <w:szCs w:val="20"/>
              </w:rPr>
            </w:pPr>
            <w:r>
              <w:rPr>
                <w:rFonts w:hint="eastAsia"/>
                <w:sz w:val="18"/>
                <w:szCs w:val="20"/>
              </w:rPr>
              <w:t>2</w:t>
            </w:r>
          </w:p>
        </w:tc>
        <w:tc>
          <w:tcPr>
            <w:tcW w:w="391"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jc w:val="center"/>
              <w:rPr>
                <w:rFonts w:hint="eastAsia"/>
                <w:sz w:val="18"/>
                <w:szCs w:val="20"/>
              </w:rPr>
            </w:pPr>
            <w:r>
              <w:rPr>
                <w:rFonts w:hint="eastAsia"/>
                <w:sz w:val="18"/>
                <w:szCs w:val="20"/>
              </w:rPr>
              <w:t>肿瘤标志物</w:t>
            </w:r>
          </w:p>
        </w:tc>
        <w:tc>
          <w:tcPr>
            <w:tcW w:w="2243" w:type="pct"/>
            <w:tcBorders>
              <w:top w:val="single" w:color="000000" w:sz="6" w:space="0"/>
              <w:left w:val="single" w:color="auto" w:sz="4" w:space="0"/>
              <w:bottom w:val="single" w:color="auto" w:sz="4" w:space="0"/>
              <w:right w:val="single" w:color="000000" w:sz="6" w:space="0"/>
              <w:tl2br w:val="nil"/>
              <w:tr2bl w:val="nil"/>
            </w:tcBorders>
            <w:noWrap w:val="0"/>
            <w:vAlign w:val="center"/>
          </w:tcPr>
          <w:p>
            <w:pPr>
              <w:rPr>
                <w:rFonts w:hint="eastAsia"/>
                <w:sz w:val="18"/>
                <w:szCs w:val="20"/>
              </w:rPr>
            </w:pPr>
            <w:r>
              <w:rPr>
                <w:rFonts w:hint="eastAsia"/>
                <w:sz w:val="18"/>
                <w:szCs w:val="20"/>
              </w:rPr>
              <w:t>AFP、CEA、hCG、PSA、CA 125、CA 15-3、CA 19-9、Ferritin、β-hCG、F-PSA、Cyfra 21-1、CASA、SCC、TPA、TPS、CA 50、CA 72-4、CA242、HE4、CA549、NSE、PGI、PGII、proGRP</w:t>
            </w:r>
          </w:p>
        </w:tc>
        <w:tc>
          <w:tcPr>
            <w:tcW w:w="513"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r>
              <w:rPr>
                <w:rFonts w:hint="eastAsia"/>
                <w:sz w:val="18"/>
                <w:szCs w:val="20"/>
              </w:rPr>
              <w:t>双水平各300ml</w:t>
            </w:r>
          </w:p>
        </w:tc>
        <w:tc>
          <w:tcPr>
            <w:tcW w:w="626"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571"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437"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72" w:hRule="atLeast"/>
        </w:trPr>
        <w:tc>
          <w:tcPr>
            <w:tcW w:w="214" w:type="pct"/>
            <w:tcBorders>
              <w:top w:val="single" w:color="000000" w:sz="6" w:space="0"/>
              <w:left w:val="single" w:color="auto" w:sz="4" w:space="0"/>
              <w:bottom w:val="single" w:color="auto" w:sz="4" w:space="0"/>
              <w:right w:val="single" w:color="auto" w:sz="4" w:space="0"/>
              <w:tl2br w:val="nil"/>
              <w:tr2bl w:val="nil"/>
            </w:tcBorders>
            <w:noWrap w:val="0"/>
            <w:vAlign w:val="top"/>
          </w:tcPr>
          <w:p>
            <w:pPr>
              <w:rPr>
                <w:rFonts w:hint="eastAsia"/>
                <w:sz w:val="18"/>
                <w:szCs w:val="20"/>
              </w:rPr>
            </w:pPr>
            <w:r>
              <w:rPr>
                <w:rFonts w:hint="eastAsia"/>
                <w:sz w:val="18"/>
                <w:szCs w:val="20"/>
              </w:rPr>
              <w:t>3</w:t>
            </w:r>
          </w:p>
        </w:tc>
        <w:tc>
          <w:tcPr>
            <w:tcW w:w="391"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jc w:val="center"/>
              <w:rPr>
                <w:rFonts w:hint="eastAsia"/>
                <w:sz w:val="18"/>
                <w:szCs w:val="20"/>
              </w:rPr>
            </w:pPr>
            <w:r>
              <w:rPr>
                <w:rFonts w:hint="eastAsia"/>
                <w:sz w:val="18"/>
                <w:szCs w:val="20"/>
              </w:rPr>
              <w:t>特定蛋白</w:t>
            </w:r>
          </w:p>
        </w:tc>
        <w:tc>
          <w:tcPr>
            <w:tcW w:w="2243" w:type="pct"/>
            <w:tcBorders>
              <w:top w:val="single" w:color="000000" w:sz="6" w:space="0"/>
              <w:left w:val="single" w:color="auto" w:sz="4" w:space="0"/>
              <w:bottom w:val="single" w:color="auto" w:sz="4" w:space="0"/>
              <w:right w:val="single" w:color="000000" w:sz="6" w:space="0"/>
              <w:tl2br w:val="nil"/>
              <w:tr2bl w:val="nil"/>
            </w:tcBorders>
            <w:noWrap w:val="0"/>
            <w:vAlign w:val="center"/>
          </w:tcPr>
          <w:p>
            <w:pPr>
              <w:rPr>
                <w:rFonts w:hint="eastAsia"/>
                <w:sz w:val="18"/>
                <w:szCs w:val="20"/>
              </w:rPr>
            </w:pPr>
            <w:r>
              <w:rPr>
                <w:rFonts w:hint="eastAsia"/>
                <w:sz w:val="18"/>
                <w:szCs w:val="20"/>
              </w:rPr>
              <w:t>Alb、IgG、IgM、IgA、IgE、C3、C4、CRP、RF、ASO、TRF、PAB、β2M、Ferritin、AT-III、Kappa Light Chain、Lambda Light Chain、RBP、Cer、α2M、α-l-AG、Hap(HPT)、α-l-AT</w:t>
            </w:r>
          </w:p>
        </w:tc>
        <w:tc>
          <w:tcPr>
            <w:tcW w:w="513"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r>
              <w:rPr>
                <w:rFonts w:hint="eastAsia"/>
                <w:sz w:val="18"/>
                <w:szCs w:val="20"/>
              </w:rPr>
              <w:t>双水平各200ml</w:t>
            </w:r>
          </w:p>
        </w:tc>
        <w:tc>
          <w:tcPr>
            <w:tcW w:w="626"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571"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437" w:type="pct"/>
            <w:tcBorders>
              <w:top w:val="single" w:color="000000" w:sz="6"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214" w:type="pct"/>
            <w:tcBorders>
              <w:top w:val="single" w:color="000000" w:sz="6" w:space="0"/>
              <w:left w:val="single" w:color="auto" w:sz="4" w:space="0"/>
              <w:bottom w:val="single" w:color="000000" w:sz="6" w:space="0"/>
              <w:right w:val="single" w:color="auto" w:sz="4" w:space="0"/>
              <w:tl2br w:val="nil"/>
              <w:tr2bl w:val="nil"/>
            </w:tcBorders>
            <w:noWrap w:val="0"/>
            <w:vAlign w:val="top"/>
          </w:tcPr>
          <w:p>
            <w:pPr>
              <w:rPr>
                <w:rFonts w:hint="eastAsia"/>
                <w:sz w:val="18"/>
                <w:szCs w:val="20"/>
              </w:rPr>
            </w:pPr>
            <w:r>
              <w:rPr>
                <w:rFonts w:hint="eastAsia"/>
                <w:sz w:val="18"/>
                <w:szCs w:val="20"/>
              </w:rPr>
              <w:t>4</w:t>
            </w:r>
          </w:p>
        </w:tc>
        <w:tc>
          <w:tcPr>
            <w:tcW w:w="391" w:type="pct"/>
            <w:tcBorders>
              <w:top w:val="single" w:color="000000" w:sz="6" w:space="0"/>
              <w:left w:val="single" w:color="000000" w:sz="6" w:space="0"/>
              <w:bottom w:val="single" w:color="000000" w:sz="6" w:space="0"/>
              <w:right w:val="single" w:color="auto" w:sz="4" w:space="0"/>
              <w:tl2br w:val="nil"/>
              <w:tr2bl w:val="nil"/>
            </w:tcBorders>
            <w:noWrap w:val="0"/>
            <w:vAlign w:val="center"/>
          </w:tcPr>
          <w:p>
            <w:pPr>
              <w:jc w:val="center"/>
              <w:rPr>
                <w:rFonts w:hint="eastAsia"/>
                <w:sz w:val="18"/>
                <w:szCs w:val="20"/>
              </w:rPr>
            </w:pPr>
            <w:r>
              <w:rPr>
                <w:rFonts w:hint="eastAsia"/>
                <w:sz w:val="18"/>
                <w:szCs w:val="20"/>
              </w:rPr>
              <w:t>生化</w:t>
            </w:r>
          </w:p>
        </w:tc>
        <w:tc>
          <w:tcPr>
            <w:tcW w:w="2243" w:type="pct"/>
            <w:tcBorders>
              <w:top w:val="single" w:color="000000" w:sz="6" w:space="0"/>
              <w:left w:val="single" w:color="auto" w:sz="4" w:space="0"/>
              <w:bottom w:val="single" w:color="000000" w:sz="6" w:space="0"/>
              <w:right w:val="single" w:color="000000" w:sz="6" w:space="0"/>
              <w:tl2br w:val="nil"/>
              <w:tr2bl w:val="nil"/>
            </w:tcBorders>
            <w:noWrap w:val="0"/>
            <w:vAlign w:val="center"/>
          </w:tcPr>
          <w:p>
            <w:pPr>
              <w:rPr>
                <w:rFonts w:hint="eastAsia"/>
                <w:sz w:val="18"/>
                <w:szCs w:val="20"/>
              </w:rPr>
            </w:pPr>
            <w:r>
              <w:rPr>
                <w:rFonts w:hint="eastAsia"/>
                <w:sz w:val="18"/>
                <w:szCs w:val="20"/>
              </w:rPr>
              <w:t>K、Na、Cl、Ca、P、Urea、UA、Cr、Alb、CHOL/TC、TG、ALT/SGPT、AST/SGOT、TBIL、ALP、AMY、CK、LDH、DBIL、Fe、Mg、Li、Cu、Zn、GCT、a-HBDH、HDL-C、LDL-C、Apo-A I、Apo-B、CK-MB、DGXN、THEO、IgG、IgM、IgA、CRP、TRF、PRO/TP、GLU、LA、CHE、Osm、PAMY、LIP、UIBC、TBA、NEFA、GLDH、PLIP、Lp(a)、Cys C、CO2(HCO3-）、AFU、FRUC(GSP)、anit CCP、ADA、5'NT、β-Hb</w:t>
            </w:r>
          </w:p>
        </w:tc>
        <w:tc>
          <w:tcPr>
            <w:tcW w:w="513"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r>
              <w:rPr>
                <w:rFonts w:hint="eastAsia"/>
                <w:sz w:val="18"/>
                <w:szCs w:val="20"/>
              </w:rPr>
              <w:t>双水平各200ml</w:t>
            </w:r>
          </w:p>
        </w:tc>
        <w:tc>
          <w:tcPr>
            <w:tcW w:w="626"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571"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437"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214" w:type="pct"/>
            <w:tcBorders>
              <w:top w:val="single" w:color="000000" w:sz="6" w:space="0"/>
              <w:left w:val="single" w:color="auto" w:sz="4" w:space="0"/>
              <w:bottom w:val="single" w:color="000000" w:sz="6" w:space="0"/>
              <w:right w:val="single" w:color="auto" w:sz="4" w:space="0"/>
              <w:tl2br w:val="nil"/>
              <w:tr2bl w:val="nil"/>
            </w:tcBorders>
            <w:noWrap w:val="0"/>
            <w:vAlign w:val="top"/>
          </w:tcPr>
          <w:p>
            <w:pPr>
              <w:rPr>
                <w:rFonts w:hint="eastAsia"/>
                <w:sz w:val="18"/>
                <w:szCs w:val="20"/>
              </w:rPr>
            </w:pPr>
            <w:r>
              <w:rPr>
                <w:rFonts w:hint="eastAsia"/>
                <w:sz w:val="18"/>
                <w:szCs w:val="20"/>
              </w:rPr>
              <w:t>5</w:t>
            </w:r>
          </w:p>
        </w:tc>
        <w:tc>
          <w:tcPr>
            <w:tcW w:w="391" w:type="pct"/>
            <w:tcBorders>
              <w:top w:val="single" w:color="000000" w:sz="6" w:space="0"/>
              <w:left w:val="single" w:color="000000" w:sz="6" w:space="0"/>
              <w:bottom w:val="single" w:color="000000" w:sz="6" w:space="0"/>
              <w:right w:val="single" w:color="auto" w:sz="4" w:space="0"/>
              <w:tl2br w:val="nil"/>
              <w:tr2bl w:val="nil"/>
            </w:tcBorders>
            <w:noWrap w:val="0"/>
            <w:vAlign w:val="center"/>
          </w:tcPr>
          <w:p>
            <w:pPr>
              <w:jc w:val="center"/>
              <w:rPr>
                <w:rFonts w:hint="eastAsia"/>
                <w:sz w:val="18"/>
                <w:szCs w:val="20"/>
              </w:rPr>
            </w:pPr>
            <w:r>
              <w:rPr>
                <w:rFonts w:hint="eastAsia"/>
                <w:sz w:val="18"/>
                <w:szCs w:val="20"/>
              </w:rPr>
              <w:t>TORCH</w:t>
            </w:r>
          </w:p>
        </w:tc>
        <w:tc>
          <w:tcPr>
            <w:tcW w:w="2243" w:type="pct"/>
            <w:tcBorders>
              <w:top w:val="single" w:color="000000" w:sz="6" w:space="0"/>
              <w:left w:val="single" w:color="auto" w:sz="4" w:space="0"/>
              <w:bottom w:val="single" w:color="000000" w:sz="6" w:space="0"/>
              <w:right w:val="single" w:color="000000" w:sz="6" w:space="0"/>
              <w:tl2br w:val="nil"/>
              <w:tr2bl w:val="nil"/>
            </w:tcBorders>
            <w:noWrap w:val="0"/>
            <w:vAlign w:val="center"/>
          </w:tcPr>
          <w:p>
            <w:pPr>
              <w:rPr>
                <w:rFonts w:hint="eastAsia"/>
                <w:sz w:val="18"/>
                <w:szCs w:val="20"/>
              </w:rPr>
            </w:pPr>
            <w:r>
              <w:rPr>
                <w:rFonts w:hint="eastAsia"/>
                <w:sz w:val="18"/>
                <w:szCs w:val="20"/>
              </w:rPr>
              <w:t>CMV IgG、TOX IgG、RV IgG、CMV IgM、TOX IgM、RV IgM、HSV-1/2 IgM、HSV-1/2 IgG</w:t>
            </w:r>
          </w:p>
        </w:tc>
        <w:tc>
          <w:tcPr>
            <w:tcW w:w="513"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r>
              <w:rPr>
                <w:rFonts w:hint="eastAsia"/>
                <w:sz w:val="18"/>
                <w:szCs w:val="20"/>
              </w:rPr>
              <w:t>单水平60ml</w:t>
            </w:r>
          </w:p>
        </w:tc>
        <w:tc>
          <w:tcPr>
            <w:tcW w:w="626"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571"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437"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214" w:type="pct"/>
            <w:tcBorders>
              <w:top w:val="single" w:color="000000" w:sz="6" w:space="0"/>
              <w:left w:val="single" w:color="auto" w:sz="4" w:space="0"/>
              <w:bottom w:val="single" w:color="000000" w:sz="6" w:space="0"/>
              <w:right w:val="single" w:color="auto" w:sz="4" w:space="0"/>
              <w:tl2br w:val="nil"/>
              <w:tr2bl w:val="nil"/>
            </w:tcBorders>
            <w:noWrap w:val="0"/>
            <w:vAlign w:val="top"/>
          </w:tcPr>
          <w:p>
            <w:pPr>
              <w:rPr>
                <w:rFonts w:hint="eastAsia"/>
                <w:sz w:val="18"/>
                <w:szCs w:val="20"/>
              </w:rPr>
            </w:pPr>
            <w:r>
              <w:rPr>
                <w:rFonts w:hint="eastAsia"/>
                <w:sz w:val="18"/>
                <w:szCs w:val="20"/>
              </w:rPr>
              <w:t>6</w:t>
            </w:r>
          </w:p>
        </w:tc>
        <w:tc>
          <w:tcPr>
            <w:tcW w:w="391" w:type="pct"/>
            <w:tcBorders>
              <w:top w:val="single" w:color="000000" w:sz="6" w:space="0"/>
              <w:left w:val="single" w:color="000000" w:sz="6" w:space="0"/>
              <w:bottom w:val="single" w:color="000000" w:sz="6" w:space="0"/>
              <w:right w:val="single" w:color="auto" w:sz="4" w:space="0"/>
              <w:tl2br w:val="nil"/>
              <w:tr2bl w:val="nil"/>
            </w:tcBorders>
            <w:noWrap w:val="0"/>
            <w:vAlign w:val="center"/>
          </w:tcPr>
          <w:p>
            <w:pPr>
              <w:jc w:val="center"/>
              <w:rPr>
                <w:rFonts w:hint="eastAsia"/>
                <w:sz w:val="18"/>
                <w:szCs w:val="20"/>
              </w:rPr>
            </w:pPr>
            <w:r>
              <w:rPr>
                <w:rFonts w:hint="eastAsia"/>
                <w:sz w:val="18"/>
                <w:szCs w:val="20"/>
              </w:rPr>
              <w:t>尿液蛋白</w:t>
            </w:r>
          </w:p>
        </w:tc>
        <w:tc>
          <w:tcPr>
            <w:tcW w:w="2243" w:type="pct"/>
            <w:tcBorders>
              <w:top w:val="single" w:color="000000" w:sz="6" w:space="0"/>
              <w:left w:val="single" w:color="auto" w:sz="4" w:space="0"/>
              <w:bottom w:val="single" w:color="000000" w:sz="6" w:space="0"/>
              <w:right w:val="single" w:color="000000" w:sz="6" w:space="0"/>
              <w:tl2br w:val="nil"/>
              <w:tr2bl w:val="nil"/>
            </w:tcBorders>
            <w:noWrap w:val="0"/>
            <w:vAlign w:val="center"/>
          </w:tcPr>
          <w:p>
            <w:pPr>
              <w:rPr>
                <w:rFonts w:hint="eastAsia"/>
                <w:sz w:val="18"/>
                <w:szCs w:val="20"/>
              </w:rPr>
            </w:pPr>
            <w:r>
              <w:rPr>
                <w:rFonts w:hint="eastAsia"/>
                <w:sz w:val="18"/>
                <w:szCs w:val="20"/>
              </w:rPr>
              <w:t>尿微量白蛋白、尿转铁蛋白、尿兔疫球蛋白 G、尿中性粒细胞明胶酶相关脂质运载蛋白、尿β2-微球蛋自、 尿αl-微球蛋白、尿视黄醇结合蛋自、Kappa总轻链 ,Lambda总轻链</w:t>
            </w:r>
          </w:p>
        </w:tc>
        <w:tc>
          <w:tcPr>
            <w:tcW w:w="513"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r>
              <w:rPr>
                <w:rFonts w:hint="eastAsia"/>
                <w:sz w:val="18"/>
                <w:szCs w:val="20"/>
              </w:rPr>
              <w:t>双水平各300ml</w:t>
            </w:r>
          </w:p>
        </w:tc>
        <w:tc>
          <w:tcPr>
            <w:tcW w:w="626"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571"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437"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214" w:type="pct"/>
            <w:tcBorders>
              <w:top w:val="single" w:color="000000" w:sz="6" w:space="0"/>
              <w:left w:val="single" w:color="auto" w:sz="4" w:space="0"/>
              <w:bottom w:val="single" w:color="000000" w:sz="6" w:space="0"/>
              <w:right w:val="single" w:color="auto" w:sz="4" w:space="0"/>
              <w:tl2br w:val="nil"/>
              <w:tr2bl w:val="nil"/>
            </w:tcBorders>
            <w:noWrap w:val="0"/>
            <w:vAlign w:val="top"/>
          </w:tcPr>
          <w:p>
            <w:pPr>
              <w:rPr>
                <w:rFonts w:hint="eastAsia"/>
                <w:sz w:val="18"/>
                <w:szCs w:val="20"/>
              </w:rPr>
            </w:pPr>
            <w:r>
              <w:rPr>
                <w:rFonts w:hint="eastAsia"/>
                <w:sz w:val="18"/>
                <w:szCs w:val="20"/>
              </w:rPr>
              <w:t>7</w:t>
            </w:r>
          </w:p>
        </w:tc>
        <w:tc>
          <w:tcPr>
            <w:tcW w:w="391" w:type="pct"/>
            <w:tcBorders>
              <w:top w:val="single" w:color="000000" w:sz="6" w:space="0"/>
              <w:left w:val="single" w:color="000000" w:sz="6" w:space="0"/>
              <w:bottom w:val="single" w:color="000000" w:sz="6" w:space="0"/>
              <w:right w:val="single" w:color="auto" w:sz="4" w:space="0"/>
              <w:tl2br w:val="nil"/>
              <w:tr2bl w:val="nil"/>
            </w:tcBorders>
            <w:noWrap w:val="0"/>
            <w:vAlign w:val="center"/>
          </w:tcPr>
          <w:p>
            <w:pPr>
              <w:jc w:val="center"/>
              <w:rPr>
                <w:rFonts w:hint="eastAsia"/>
                <w:sz w:val="18"/>
                <w:szCs w:val="20"/>
              </w:rPr>
            </w:pPr>
            <w:r>
              <w:rPr>
                <w:rFonts w:hint="eastAsia"/>
                <w:sz w:val="18"/>
                <w:szCs w:val="20"/>
              </w:rPr>
              <w:t>尿液生化</w:t>
            </w:r>
          </w:p>
        </w:tc>
        <w:tc>
          <w:tcPr>
            <w:tcW w:w="2243" w:type="pct"/>
            <w:tcBorders>
              <w:top w:val="single" w:color="000000" w:sz="6" w:space="0"/>
              <w:left w:val="single" w:color="auto" w:sz="4" w:space="0"/>
              <w:bottom w:val="single" w:color="000000" w:sz="6" w:space="0"/>
              <w:right w:val="single" w:color="000000" w:sz="6" w:space="0"/>
              <w:tl2br w:val="nil"/>
              <w:tr2bl w:val="nil"/>
            </w:tcBorders>
            <w:noWrap w:val="0"/>
            <w:vAlign w:val="center"/>
          </w:tcPr>
          <w:p>
            <w:pPr>
              <w:rPr>
                <w:rFonts w:hint="eastAsia"/>
                <w:sz w:val="18"/>
                <w:szCs w:val="20"/>
              </w:rPr>
            </w:pPr>
            <w:r>
              <w:rPr>
                <w:rFonts w:hint="eastAsia"/>
                <w:sz w:val="18"/>
                <w:szCs w:val="20"/>
              </w:rPr>
              <w:t>尿钾、尿钠、尿氯、尿肌酐、尿素氮、尿总蛋白</w:t>
            </w:r>
          </w:p>
        </w:tc>
        <w:tc>
          <w:tcPr>
            <w:tcW w:w="513"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r>
              <w:rPr>
                <w:rFonts w:hint="eastAsia"/>
                <w:sz w:val="18"/>
                <w:szCs w:val="20"/>
              </w:rPr>
              <w:t>双水平各300ml</w:t>
            </w:r>
          </w:p>
        </w:tc>
        <w:tc>
          <w:tcPr>
            <w:tcW w:w="626"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571"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c>
          <w:tcPr>
            <w:tcW w:w="437" w:type="pct"/>
            <w:tcBorders>
              <w:top w:val="single" w:color="auto" w:sz="4" w:space="0"/>
              <w:left w:val="single" w:color="000000" w:sz="6" w:space="0"/>
              <w:bottom w:val="single" w:color="auto" w:sz="4" w:space="0"/>
              <w:right w:val="single" w:color="auto" w:sz="4" w:space="0"/>
              <w:tl2br w:val="nil"/>
              <w:tr2bl w:val="nil"/>
            </w:tcBorders>
            <w:noWrap w:val="0"/>
            <w:vAlign w:val="center"/>
          </w:tcPr>
          <w:p>
            <w:pPr>
              <w:rPr>
                <w:rFonts w:hint="eastAsia"/>
                <w:sz w:val="18"/>
                <w:szCs w:val="2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208" w:hRule="atLeast"/>
        </w:trPr>
        <w:tc>
          <w:tcPr>
            <w:tcW w:w="5000" w:type="pct"/>
            <w:gridSpan w:val="7"/>
            <w:tcBorders>
              <w:top w:val="single" w:color="000000" w:sz="6" w:space="0"/>
              <w:left w:val="single" w:color="auto" w:sz="4" w:space="0"/>
              <w:bottom w:val="single" w:color="auto" w:sz="4" w:space="0"/>
              <w:right w:val="single" w:color="auto" w:sz="4" w:space="0"/>
              <w:tl2br w:val="nil"/>
              <w:tr2bl w:val="nil"/>
            </w:tcBorders>
            <w:noWrap w:val="0"/>
            <w:vAlign w:val="top"/>
          </w:tcPr>
          <w:p>
            <w:pPr>
              <w:rPr>
                <w:rFonts w:hint="eastAsia"/>
                <w:sz w:val="18"/>
                <w:szCs w:val="20"/>
              </w:rPr>
            </w:pPr>
            <w:r>
              <w:rPr>
                <w:rFonts w:hint="eastAsia"/>
                <w:sz w:val="18"/>
                <w:szCs w:val="20"/>
              </w:rPr>
              <w:t xml:space="preserve">      </w:t>
            </w:r>
          </w:p>
          <w:p>
            <w:pPr>
              <w:ind w:firstLine="904" w:firstLineChars="500"/>
              <w:rPr>
                <w:rFonts w:hint="default" w:eastAsiaTheme="minorEastAsia"/>
                <w:sz w:val="18"/>
                <w:szCs w:val="20"/>
                <w:lang w:val="en-US" w:eastAsia="zh-CN"/>
              </w:rPr>
            </w:pPr>
            <w:r>
              <w:rPr>
                <w:rFonts w:hint="eastAsia"/>
                <w:b/>
                <w:bCs/>
                <w:sz w:val="18"/>
                <w:szCs w:val="20"/>
                <w:u w:val="single"/>
                <w:lang w:val="en-US" w:eastAsia="zh-CN"/>
              </w:rPr>
              <w:t>承诺中标后质控品采购价不高于浙江省药械采购平台最低价或市场价。</w:t>
            </w:r>
          </w:p>
          <w:p>
            <w:pPr>
              <w:ind w:firstLine="900" w:firstLineChars="500"/>
              <w:rPr>
                <w:rFonts w:hint="default" w:eastAsiaTheme="minorEastAsia"/>
                <w:sz w:val="18"/>
                <w:szCs w:val="20"/>
                <w:lang w:val="en-US" w:eastAsia="zh-CN"/>
              </w:rPr>
            </w:pPr>
            <w:r>
              <w:rPr>
                <w:rFonts w:hint="eastAsia"/>
                <w:sz w:val="18"/>
                <w:szCs w:val="20"/>
                <w:lang w:val="en-US" w:eastAsia="zh-CN"/>
              </w:rPr>
              <w:t xml:space="preserve">   </w:t>
            </w:r>
            <w:r>
              <w:rPr>
                <w:rFonts w:hint="eastAsia"/>
                <w:b/>
                <w:bCs/>
                <w:sz w:val="18"/>
                <w:szCs w:val="20"/>
                <w:u w:val="single"/>
                <w:lang w:val="en-US" w:eastAsia="zh-CN"/>
              </w:rPr>
              <w:t>最终需求量由需方根据需求向中标单位采购。</w:t>
            </w:r>
          </w:p>
          <w:p>
            <w:pPr>
              <w:rPr>
                <w:rFonts w:hint="eastAsia"/>
                <w:sz w:val="18"/>
                <w:szCs w:val="20"/>
              </w:rPr>
            </w:pPr>
          </w:p>
        </w:tc>
      </w:tr>
    </w:tbl>
    <w:p/>
    <w:p>
      <w:pPr>
        <w:jc w:val="right"/>
        <w:rPr>
          <w:rFonts w:ascii="宋体" w:hAnsi="宋体"/>
          <w:sz w:val="24"/>
        </w:rPr>
      </w:pP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lang w:val="en-US" w:eastAsia="zh-CN"/>
        </w:rPr>
        <w:t xml:space="preserve">          </w:t>
      </w:r>
      <w:r>
        <w:rPr>
          <w:rFonts w:hint="eastAsia" w:ascii="宋体" w:hAnsi="宋体"/>
          <w:sz w:val="24"/>
          <w:lang w:eastAsia="zh-CN"/>
        </w:rPr>
        <w:t>比</w:t>
      </w:r>
      <w:r>
        <w:rPr>
          <w:rFonts w:hint="eastAsia" w:ascii="宋体" w:hAnsi="宋体"/>
          <w:sz w:val="24"/>
        </w:rPr>
        <w:t>价响应方：</w:t>
      </w:r>
      <w:r>
        <w:rPr>
          <w:rFonts w:hint="eastAsia" w:ascii="宋体" w:hAnsi="宋体"/>
          <w:sz w:val="24"/>
          <w:lang w:val="en-US" w:eastAsia="zh-CN"/>
        </w:rPr>
        <w:t xml:space="preserve">       </w:t>
      </w:r>
      <w:r>
        <w:rPr>
          <w:rFonts w:hint="eastAsia" w:ascii="宋体" w:hAnsi="宋体"/>
          <w:sz w:val="24"/>
          <w:lang w:eastAsia="zh-CN"/>
        </w:rPr>
        <w:t>（公章）</w:t>
      </w:r>
      <w:r>
        <w:rPr>
          <w:rFonts w:hint="eastAsia" w:ascii="宋体" w:hAnsi="宋体"/>
          <w:sz w:val="24"/>
          <w:lang w:val="en-US" w:eastAsia="zh-CN"/>
        </w:rPr>
        <w:t xml:space="preserve">  </w:t>
      </w:r>
      <w:r>
        <w:rPr>
          <w:rFonts w:ascii="宋体" w:hAnsi="宋体"/>
          <w:sz w:val="24"/>
        </w:rPr>
        <w:t xml:space="preserve"> </w:t>
      </w:r>
    </w:p>
    <w:p>
      <w:pPr>
        <w:rPr>
          <w:rFonts w:ascii="宋体" w:hAnsi="宋体"/>
          <w:sz w:val="24"/>
        </w:rPr>
      </w:pPr>
    </w:p>
    <w:p>
      <w:pPr>
        <w:jc w:val="right"/>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lang w:eastAsia="zh-CN"/>
        </w:rPr>
        <w:t>比价</w:t>
      </w:r>
      <w:r>
        <w:rPr>
          <w:rFonts w:hint="eastAsia" w:ascii="宋体" w:hAnsi="宋体"/>
          <w:sz w:val="24"/>
        </w:rPr>
        <w:t>响应日期：</w:t>
      </w:r>
      <w:r>
        <w:rPr>
          <w:rFonts w:hint="eastAsia" w:ascii="宋体" w:hAnsi="宋体"/>
          <w:sz w:val="24"/>
          <w:lang w:val="en-US" w:eastAsia="zh-CN"/>
        </w:rPr>
        <w:t xml:space="preserve">    </w:t>
      </w:r>
      <w:r>
        <w:rPr>
          <w:rFonts w:ascii="宋体" w:hAnsi="宋体"/>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MGNjNmMyYjBjZjg4OThjOGI0MTY2MjlhODUyNTkifQ=="/>
  </w:docVars>
  <w:rsids>
    <w:rsidRoot w:val="00172A27"/>
    <w:rsid w:val="0033116E"/>
    <w:rsid w:val="00BA737E"/>
    <w:rsid w:val="00CE1C75"/>
    <w:rsid w:val="07A958E6"/>
    <w:rsid w:val="0BA66FD7"/>
    <w:rsid w:val="1A830980"/>
    <w:rsid w:val="1C7C44E1"/>
    <w:rsid w:val="21326A38"/>
    <w:rsid w:val="231714DD"/>
    <w:rsid w:val="26013331"/>
    <w:rsid w:val="2D96038B"/>
    <w:rsid w:val="345A4B40"/>
    <w:rsid w:val="3A4D181A"/>
    <w:rsid w:val="3D336295"/>
    <w:rsid w:val="3E025335"/>
    <w:rsid w:val="50E438EA"/>
    <w:rsid w:val="63EA0FC9"/>
    <w:rsid w:val="6EA420E3"/>
    <w:rsid w:val="717C1EFC"/>
    <w:rsid w:val="75281BB8"/>
    <w:rsid w:val="7ABB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jc w:val="center"/>
      <w:outlineLvl w:val="0"/>
    </w:pPr>
    <w:rPr>
      <w:rFonts w:eastAsia="黑体"/>
      <w:b/>
      <w:sz w:val="32"/>
      <w:szCs w:val="20"/>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2"/>
    <w:qFormat/>
    <w:uiPriority w:val="0"/>
    <w:pPr>
      <w:autoSpaceDE w:val="0"/>
      <w:autoSpaceDN w:val="0"/>
      <w:adjustRightInd w:val="0"/>
      <w:spacing w:line="360" w:lineRule="auto"/>
    </w:pPr>
    <w:rPr>
      <w:rFonts w:ascii="宋体"/>
      <w:sz w:val="24"/>
      <w:szCs w:val="20"/>
      <w:lang w:val="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1590</Words>
  <Characters>2475</Characters>
  <Lines>57</Lines>
  <Paragraphs>16</Paragraphs>
  <TotalTime>11</TotalTime>
  <ScaleCrop>false</ScaleCrop>
  <LinksUpToDate>false</LinksUpToDate>
  <CharactersWithSpaces>2599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2021-08-09T09:20:00Z</dcterms:created>
  <dc:creator>王娜</dc:creator>
  <cp:lastModifiedBy>HGKI</cp:lastModifiedBy>
  <dcterms:modified xsi:type="dcterms:W3CDTF">2022-06-24T07:13:27Z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08A2F49393F947AAA2FEE22B32EE09BD</vt:lpwstr>
  </property>
</Properties>
</file>